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2876A96B" w:rsidR="00420A38" w:rsidRDefault="00420A38" w:rsidP="00811F06">
      <w:pPr>
        <w:pStyle w:val="Header"/>
        <w:tabs>
          <w:tab w:val="right" w:pos="5954"/>
        </w:tabs>
        <w:jc w:val="right"/>
        <w:rPr>
          <w:rFonts w:ascii="Calibri" w:hAnsi="Calibri"/>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w:t>
      </w:r>
      <w:r w:rsidR="000049D8" w:rsidRPr="00A72757">
        <w:rPr>
          <w:rFonts w:ascii="Calibri" w:hAnsi="Calibri"/>
          <w:b/>
          <w:bCs/>
          <w:color w:val="00558C"/>
          <w:sz w:val="24"/>
          <w:szCs w:val="24"/>
        </w:rPr>
        <w:t xml:space="preserve">  </w:t>
      </w:r>
      <w:r w:rsidR="00FA644A">
        <w:rPr>
          <w:rFonts w:ascii="Calibri" w:hAnsi="Calibri"/>
          <w:color w:val="00558C"/>
          <w:sz w:val="24"/>
          <w:szCs w:val="24"/>
        </w:rPr>
        <w:t>ARM22</w:t>
      </w:r>
      <w:r w:rsidRPr="00A72757">
        <w:rPr>
          <w:rFonts w:ascii="Calibri" w:hAnsi="Calibri"/>
          <w:color w:val="00558C"/>
          <w:sz w:val="24"/>
          <w:szCs w:val="24"/>
        </w:rPr>
        <w:t>-</w:t>
      </w:r>
      <w:r w:rsidR="005578A1">
        <w:rPr>
          <w:rFonts w:ascii="Calibri" w:hAnsi="Calibri"/>
          <w:color w:val="00558C"/>
          <w:sz w:val="24"/>
          <w:szCs w:val="24"/>
        </w:rPr>
        <w:t>7.4.5</w:t>
      </w:r>
    </w:p>
    <w:p w14:paraId="4C647C1B" w14:textId="74AB5C92" w:rsidR="00941AAE" w:rsidRPr="00941AAE" w:rsidRDefault="00941AAE" w:rsidP="00811F06">
      <w:pPr>
        <w:pStyle w:val="Header"/>
        <w:tabs>
          <w:tab w:val="right" w:pos="5954"/>
        </w:tabs>
        <w:jc w:val="right"/>
        <w:rPr>
          <w:rFonts w:ascii="Calibri" w:eastAsia="Malgun Gothic" w:hAnsi="Calibri"/>
          <w:b/>
          <w:bCs/>
          <w:color w:val="00558C"/>
          <w:sz w:val="24"/>
          <w:szCs w:val="24"/>
          <w:lang w:eastAsia="ko-KR"/>
        </w:rPr>
      </w:pPr>
      <w:r w:rsidRPr="00941AAE">
        <w:rPr>
          <w:rFonts w:ascii="Calibri" w:eastAsia="Malgun Gothic" w:hAnsi="Calibri" w:hint="eastAsia"/>
          <w:b/>
          <w:bCs/>
          <w:color w:val="00558C"/>
          <w:sz w:val="24"/>
          <w:szCs w:val="24"/>
          <w:lang w:eastAsia="ko-KR"/>
        </w:rPr>
        <w:t>Date:</w:t>
      </w:r>
      <w:r>
        <w:rPr>
          <w:rFonts w:ascii="Calibri" w:eastAsia="Malgun Gothic" w:hAnsi="Calibri" w:hint="eastAsia"/>
          <w:color w:val="00558C"/>
          <w:sz w:val="24"/>
          <w:szCs w:val="24"/>
          <w:lang w:eastAsia="ko-KR"/>
        </w:rPr>
        <w:t xml:space="preserve"> </w:t>
      </w:r>
      <w:r w:rsidR="005578A1">
        <w:rPr>
          <w:rFonts w:ascii="Calibri" w:eastAsia="Malgun Gothic" w:hAnsi="Calibri"/>
          <w:color w:val="00558C"/>
          <w:sz w:val="24"/>
          <w:szCs w:val="24"/>
          <w:lang w:eastAsia="ko-KR"/>
        </w:rPr>
        <w:t>13</w:t>
      </w:r>
      <w:r>
        <w:rPr>
          <w:rFonts w:ascii="Calibri" w:eastAsia="Malgun Gothic" w:hAnsi="Calibri" w:hint="eastAsia"/>
          <w:color w:val="00558C"/>
          <w:sz w:val="24"/>
          <w:szCs w:val="24"/>
          <w:lang w:eastAsia="ko-KR"/>
        </w:rPr>
        <w:t xml:space="preserve"> </w:t>
      </w:r>
      <w:r w:rsidR="005578A1">
        <w:rPr>
          <w:rFonts w:ascii="Calibri" w:eastAsia="Malgun Gothic" w:hAnsi="Calibri"/>
          <w:color w:val="00558C"/>
          <w:sz w:val="24"/>
          <w:szCs w:val="24"/>
          <w:lang w:eastAsia="ko-KR"/>
        </w:rPr>
        <w:t>April</w:t>
      </w:r>
      <w:r>
        <w:rPr>
          <w:rFonts w:ascii="Calibri" w:eastAsia="Malgun Gothic" w:hAnsi="Calibri" w:hint="eastAsia"/>
          <w:color w:val="00558C"/>
          <w:sz w:val="24"/>
          <w:szCs w:val="24"/>
          <w:lang w:eastAsia="ko-KR"/>
        </w:rPr>
        <w:t xml:space="preserve"> 202</w:t>
      </w:r>
      <w:r w:rsidR="005578A1">
        <w:rPr>
          <w:rFonts w:ascii="Calibri" w:eastAsia="Malgun Gothic" w:hAnsi="Calibri"/>
          <w:color w:val="00558C"/>
          <w:sz w:val="24"/>
          <w:szCs w:val="24"/>
          <w:lang w:eastAsia="ko-KR"/>
        </w:rPr>
        <w:t>6</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473D3981" w:rsidR="0080294B" w:rsidRPr="00B0084A" w:rsidRDefault="00CE4F64"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1"/>
            <w14:checkedState w14:val="2612" w14:font="MS Gothic"/>
            <w14:uncheckedState w14:val="2610" w14:font="MS Gothic"/>
          </w14:checkbox>
        </w:sdtPr>
        <w:sdtEndPr/>
        <w:sdtContent>
          <w:r w:rsidR="00B35050">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End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1"/>
            <w14:checkedState w14:val="2612" w14:font="MS Gothic"/>
            <w14:uncheckedState w14:val="2610" w14:font="MS Gothic"/>
          </w14:checkbox>
        </w:sdtPr>
        <w:sdtEndPr/>
        <w:sdtContent>
          <w:r w:rsidR="00B35050">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0E1A3B65" w:rsidR="0080294B" w:rsidRPr="00BE05C9" w:rsidRDefault="00CE4F64" w:rsidP="00037DF4">
      <w:pPr>
        <w:pStyle w:val="BodyText"/>
        <w:tabs>
          <w:tab w:val="left" w:pos="1843"/>
        </w:tabs>
        <w:rPr>
          <w:rFonts w:ascii="Calibri" w:hAnsi="Calibri"/>
          <w:lang w:val="sv-SE"/>
        </w:rPr>
      </w:pPr>
      <w:sdt>
        <w:sdtPr>
          <w:rPr>
            <w:rFonts w:ascii="Calibri" w:hAnsi="Calibri" w:cs="Arial"/>
            <w:b/>
            <w:lang w:val="sv-SE"/>
          </w:rPr>
          <w:id w:val="1358232040"/>
          <w14:checkbox>
            <w14:checked w14:val="0"/>
            <w14:checkedState w14:val="2612" w14:font="MS Gothic"/>
            <w14:uncheckedState w14:val="2610" w14:font="MS Gothic"/>
          </w14:checkbox>
        </w:sdtPr>
        <w:sdtEndPr/>
        <w:sdtContent>
          <w:r w:rsidR="00221E08" w:rsidRPr="00BE05C9">
            <w:rPr>
              <w:rFonts w:ascii="MS Gothic" w:eastAsia="MS Gothic" w:hAnsi="MS Gothic" w:cs="Arial" w:hint="eastAsia"/>
              <w:b/>
              <w:lang w:val="sv-SE"/>
            </w:rPr>
            <w:t>☐</w:t>
          </w:r>
        </w:sdtContent>
      </w:sdt>
      <w:r w:rsidR="0080294B" w:rsidRPr="00BE05C9">
        <w:rPr>
          <w:rFonts w:ascii="Calibri" w:hAnsi="Calibri" w:cs="Arial"/>
          <w:lang w:val="sv-SE"/>
        </w:rPr>
        <w:t xml:space="preserve"> ENAV</w:t>
      </w:r>
      <w:r w:rsidR="0080294B" w:rsidRPr="00BE05C9">
        <w:rPr>
          <w:rFonts w:ascii="Calibri" w:hAnsi="Calibri" w:cs="Arial"/>
          <w:b/>
          <w:lang w:val="sv-SE"/>
        </w:rPr>
        <w:tab/>
      </w:r>
      <w:sdt>
        <w:sdtPr>
          <w:rPr>
            <w:rFonts w:ascii="Calibri" w:hAnsi="Calibri" w:cs="Arial"/>
            <w:b/>
            <w:lang w:val="sv-SE"/>
          </w:rPr>
          <w:id w:val="1574472571"/>
          <w14:checkbox>
            <w14:checked w14:val="0"/>
            <w14:checkedState w14:val="2612" w14:font="MS Gothic"/>
            <w14:uncheckedState w14:val="2610" w14:font="MS Gothic"/>
          </w14:checkbox>
        </w:sdtPr>
        <w:sdtEndPr/>
        <w:sdtContent>
          <w:r w:rsidR="00221E08" w:rsidRPr="00BE05C9">
            <w:rPr>
              <w:rFonts w:ascii="MS Gothic" w:eastAsia="MS Gothic" w:hAnsi="MS Gothic" w:cs="Arial" w:hint="eastAsia"/>
              <w:b/>
              <w:lang w:val="sv-SE"/>
            </w:rPr>
            <w:t>☐</w:t>
          </w:r>
        </w:sdtContent>
      </w:sdt>
      <w:r w:rsidR="0080294B" w:rsidRPr="00BE05C9">
        <w:rPr>
          <w:rFonts w:ascii="Calibri" w:hAnsi="Calibri" w:cs="Arial"/>
          <w:lang w:val="sv-SE"/>
        </w:rPr>
        <w:t xml:space="preserve"> </w:t>
      </w:r>
      <w:r w:rsidR="003D2DC1" w:rsidRPr="00BE05C9">
        <w:rPr>
          <w:rFonts w:ascii="Calibri" w:hAnsi="Calibri" w:cs="Arial"/>
          <w:lang w:val="sv-SE"/>
        </w:rPr>
        <w:t>VTS</w:t>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sdt>
        <w:sdtPr>
          <w:rPr>
            <w:rFonts w:ascii="Calibri" w:hAnsi="Calibri" w:cs="Arial"/>
            <w:b/>
            <w:lang w:val="sv-SE"/>
          </w:rPr>
          <w:id w:val="1701977003"/>
          <w14:checkbox>
            <w14:checked w14:val="0"/>
            <w14:checkedState w14:val="2612" w14:font="MS Gothic"/>
            <w14:uncheckedState w14:val="2610" w14:font="MS Gothic"/>
          </w14:checkbox>
        </w:sdtPr>
        <w:sdtEndPr/>
        <w:sdtContent>
          <w:r w:rsidR="00110203" w:rsidRPr="00BE05C9">
            <w:rPr>
              <w:rFonts w:ascii="MS Gothic" w:eastAsia="MS Gothic" w:hAnsi="MS Gothic" w:cs="Arial" w:hint="eastAsia"/>
              <w:b/>
              <w:lang w:val="sv-SE"/>
            </w:rPr>
            <w:t>☐</w:t>
          </w:r>
        </w:sdtContent>
      </w:sdt>
      <w:r w:rsidR="00110203" w:rsidRPr="00BE05C9">
        <w:rPr>
          <w:rFonts w:ascii="Calibri" w:hAnsi="Calibri" w:cs="Arial"/>
          <w:lang w:val="sv-SE"/>
        </w:rPr>
        <w:t xml:space="preserve"> </w:t>
      </w:r>
      <w:r w:rsidR="0080294B" w:rsidRPr="00BE05C9">
        <w:rPr>
          <w:rFonts w:ascii="Calibri" w:hAnsi="Calibri" w:cs="Arial"/>
          <w:lang w:val="sv-SE"/>
        </w:rPr>
        <w:t>Information</w:t>
      </w:r>
    </w:p>
    <w:p w14:paraId="3E1C02C4" w14:textId="77777777" w:rsidR="0080294B" w:rsidRPr="00BE05C9" w:rsidRDefault="0080294B" w:rsidP="00FE5674">
      <w:pPr>
        <w:pStyle w:val="BodyText"/>
        <w:tabs>
          <w:tab w:val="left" w:pos="2835"/>
        </w:tabs>
        <w:rPr>
          <w:rFonts w:ascii="Calibri" w:hAnsi="Calibri"/>
          <w:lang w:val="sv-SE"/>
        </w:rPr>
      </w:pPr>
    </w:p>
    <w:p w14:paraId="4DD25FD9" w14:textId="6C33D7D2" w:rsidR="00A446C9" w:rsidRPr="005578A1" w:rsidRDefault="00A446C9" w:rsidP="00FE5674">
      <w:pPr>
        <w:pStyle w:val="BodyText"/>
        <w:tabs>
          <w:tab w:val="left" w:pos="2835"/>
        </w:tabs>
        <w:rPr>
          <w:rFonts w:ascii="Calibri" w:hAnsi="Calibri"/>
        </w:rPr>
      </w:pPr>
      <w:r w:rsidRPr="005578A1">
        <w:rPr>
          <w:rFonts w:ascii="Calibri" w:hAnsi="Calibri"/>
          <w:b/>
          <w:bCs/>
          <w:color w:val="00558C"/>
          <w:sz w:val="24"/>
          <w:szCs w:val="24"/>
        </w:rPr>
        <w:t>Agenda item</w:t>
      </w:r>
      <w:r w:rsidR="001C44A3" w:rsidRPr="005578A1">
        <w:rPr>
          <w:rFonts w:ascii="Calibri" w:hAnsi="Calibri"/>
        </w:rPr>
        <w:tab/>
      </w:r>
      <w:r w:rsidR="0080294B" w:rsidRPr="005578A1">
        <w:rPr>
          <w:rFonts w:ascii="Calibri" w:hAnsi="Calibri"/>
        </w:rPr>
        <w:tab/>
      </w:r>
      <w:r w:rsidR="0080294B" w:rsidRPr="005578A1">
        <w:rPr>
          <w:rFonts w:ascii="Calibri" w:hAnsi="Calibri"/>
        </w:rPr>
        <w:tab/>
      </w:r>
      <w:r w:rsidR="005578A1" w:rsidRPr="005578A1">
        <w:rPr>
          <w:rFonts w:ascii="Calibri" w:hAnsi="Calibri"/>
        </w:rPr>
        <w:t>7.4.</w:t>
      </w:r>
      <w:r w:rsidR="005578A1">
        <w:rPr>
          <w:rFonts w:ascii="Calibri" w:hAnsi="Calibri"/>
        </w:rPr>
        <w:t>5</w:t>
      </w:r>
    </w:p>
    <w:p w14:paraId="1AB3E246" w14:textId="68CB540E" w:rsidR="00A446C9" w:rsidRPr="007A395D" w:rsidRDefault="0080294B" w:rsidP="00FE5674">
      <w:pPr>
        <w:pStyle w:val="BodyText"/>
        <w:tabs>
          <w:tab w:val="left" w:pos="2835"/>
        </w:tabs>
        <w:rPr>
          <w:rFonts w:ascii="Calibri" w:hAnsi="Calibri"/>
        </w:rPr>
      </w:pPr>
      <w:r w:rsidRPr="00C02DDD">
        <w:rPr>
          <w:rFonts w:ascii="Calibri" w:hAnsi="Calibri"/>
          <w:b/>
          <w:bCs/>
          <w:color w:val="00558C"/>
          <w:sz w:val="24"/>
          <w:szCs w:val="24"/>
        </w:rPr>
        <w:t xml:space="preserve">Technical </w:t>
      </w:r>
      <w:r w:rsidR="00B0084A" w:rsidRPr="00C02DDD">
        <w:rPr>
          <w:rFonts w:ascii="Calibri" w:hAnsi="Calibri"/>
          <w:b/>
          <w:bCs/>
          <w:color w:val="00558C"/>
          <w:sz w:val="24"/>
          <w:szCs w:val="24"/>
        </w:rPr>
        <w:t>d</w:t>
      </w:r>
      <w:r w:rsidRPr="00C02DDD">
        <w:rPr>
          <w:rFonts w:ascii="Calibri" w:hAnsi="Calibri"/>
          <w:b/>
          <w:bCs/>
          <w:color w:val="00558C"/>
          <w:sz w:val="24"/>
          <w:szCs w:val="24"/>
        </w:rPr>
        <w:t xml:space="preserve">omain/ </w:t>
      </w:r>
      <w:r w:rsidR="00A446C9" w:rsidRPr="00C02DDD">
        <w:rPr>
          <w:rFonts w:ascii="Calibri" w:hAnsi="Calibri"/>
          <w:b/>
          <w:bCs/>
          <w:color w:val="00558C"/>
          <w:sz w:val="24"/>
          <w:szCs w:val="24"/>
        </w:rPr>
        <w:t xml:space="preserve">Task </w:t>
      </w:r>
      <w:r w:rsidR="00B0084A" w:rsidRPr="00C02DDD">
        <w:rPr>
          <w:rFonts w:ascii="Calibri" w:hAnsi="Calibri"/>
          <w:b/>
          <w:bCs/>
          <w:color w:val="00558C"/>
          <w:sz w:val="24"/>
          <w:szCs w:val="24"/>
        </w:rPr>
        <w:t>n</w:t>
      </w:r>
      <w:r w:rsidR="00A446C9" w:rsidRPr="00C02DDD">
        <w:rPr>
          <w:rFonts w:ascii="Calibri" w:hAnsi="Calibri"/>
          <w:b/>
          <w:bCs/>
          <w:color w:val="00558C"/>
          <w:sz w:val="24"/>
          <w:szCs w:val="24"/>
        </w:rPr>
        <w:t>umber</w:t>
      </w:r>
      <w:r w:rsidR="00037DF4" w:rsidRPr="007A395D">
        <w:rPr>
          <w:rFonts w:ascii="Calibri" w:hAnsi="Calibri"/>
        </w:rPr>
        <w:t xml:space="preserve"> </w:t>
      </w:r>
      <w:r w:rsidR="001C44A3" w:rsidRPr="007A395D">
        <w:rPr>
          <w:rFonts w:ascii="Calibri" w:hAnsi="Calibri"/>
        </w:rPr>
        <w:tab/>
      </w:r>
      <w:r w:rsidR="00D13264">
        <w:rPr>
          <w:rFonts w:ascii="Calibri" w:hAnsi="Calibri"/>
        </w:rPr>
        <w:t>7.1.3</w:t>
      </w:r>
    </w:p>
    <w:p w14:paraId="01FC5420" w14:textId="1B9954B4" w:rsidR="00362CD9" w:rsidRPr="007A395D" w:rsidRDefault="00362CD9" w:rsidP="00FE5674">
      <w:pPr>
        <w:pStyle w:val="BodyText"/>
        <w:tabs>
          <w:tab w:val="left" w:pos="2835"/>
        </w:tabs>
        <w:rPr>
          <w:rFonts w:ascii="Calibri" w:hAnsi="Calibri"/>
          <w:color w:val="FF0000"/>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r>
      <w:r w:rsidR="00D13264">
        <w:rPr>
          <w:rFonts w:ascii="Calibri" w:hAnsi="Calibri"/>
        </w:rPr>
        <w:t>C</w:t>
      </w:r>
      <w:r w:rsidR="0061603D">
        <w:rPr>
          <w:rFonts w:ascii="Calibri" w:hAnsi="Calibri"/>
        </w:rPr>
        <w:t xml:space="preserve">anadian </w:t>
      </w:r>
      <w:r w:rsidR="00D13264">
        <w:rPr>
          <w:rFonts w:ascii="Calibri" w:hAnsi="Calibri"/>
        </w:rPr>
        <w:t>C</w:t>
      </w:r>
      <w:r w:rsidR="0061603D">
        <w:rPr>
          <w:rFonts w:ascii="Calibri" w:hAnsi="Calibri"/>
        </w:rPr>
        <w:t xml:space="preserve">oast </w:t>
      </w:r>
      <w:r w:rsidR="00D13264">
        <w:rPr>
          <w:rFonts w:ascii="Calibri" w:hAnsi="Calibri"/>
        </w:rPr>
        <w:t>G</w:t>
      </w:r>
      <w:r w:rsidR="0061603D">
        <w:rPr>
          <w:rFonts w:ascii="Calibri" w:hAnsi="Calibri"/>
        </w:rPr>
        <w:t>uard</w:t>
      </w:r>
    </w:p>
    <w:p w14:paraId="60BCC120" w14:textId="39D2D195" w:rsidR="0080294B" w:rsidRPr="007A395D" w:rsidRDefault="00774730" w:rsidP="00C02DDD">
      <w:pPr>
        <w:pStyle w:val="BodyText"/>
        <w:tabs>
          <w:tab w:val="left" w:pos="7860"/>
        </w:tabs>
        <w:rPr>
          <w:rFonts w:ascii="Calibri" w:hAnsi="Calibri"/>
        </w:rPr>
      </w:pPr>
      <w:r>
        <w:rPr>
          <w:rFonts w:ascii="Calibri" w:hAnsi="Calibri"/>
        </w:rPr>
        <w:tab/>
      </w:r>
    </w:p>
    <w:p w14:paraId="4834080C" w14:textId="7343D0E2" w:rsidR="00A446C9" w:rsidRPr="00605E43" w:rsidRDefault="00E37ADB" w:rsidP="0035243F">
      <w:pPr>
        <w:pStyle w:val="Title"/>
      </w:pPr>
      <w:r>
        <w:t xml:space="preserve">Proposal to </w:t>
      </w:r>
      <w:r w:rsidR="005C11FD">
        <w:t>A</w:t>
      </w:r>
      <w:r w:rsidR="002B59AF">
        <w:t xml:space="preserve">dd “Cautionary” as </w:t>
      </w:r>
      <w:r w:rsidR="005C11FD">
        <w:t>P</w:t>
      </w:r>
      <w:r w:rsidR="002B59AF">
        <w:t xml:space="preserve">art of the </w:t>
      </w:r>
      <w:r w:rsidR="005C11FD">
        <w:t>E</w:t>
      </w:r>
      <w:r w:rsidR="002B59AF">
        <w:t xml:space="preserve">numerated </w:t>
      </w:r>
      <w:r w:rsidR="005C11FD">
        <w:t>L</w:t>
      </w:r>
      <w:r w:rsidR="002B59AF">
        <w:t xml:space="preserve">ist of </w:t>
      </w:r>
      <w:r>
        <w:t>“Category of Special Purpose Mark” in S-201</w:t>
      </w:r>
    </w:p>
    <w:p w14:paraId="2CC2DB54" w14:textId="49244CC0" w:rsidR="009874F9" w:rsidRPr="009874F9" w:rsidRDefault="00A446C9" w:rsidP="009874F9">
      <w:pPr>
        <w:pStyle w:val="Heading1"/>
      </w:pPr>
      <w:r w:rsidRPr="00B661C7">
        <w:t>Summary</w:t>
      </w:r>
      <w:r w:rsidR="008E28CC">
        <w:t xml:space="preserve"> </w:t>
      </w:r>
    </w:p>
    <w:p w14:paraId="6B84AAE0" w14:textId="1E24ADC7" w:rsidR="002B59AF" w:rsidRDefault="002B59AF" w:rsidP="00B56BDF">
      <w:pPr>
        <w:pStyle w:val="BodyText"/>
        <w:rPr>
          <w:rFonts w:ascii="Calibri" w:hAnsi="Calibri"/>
        </w:rPr>
      </w:pPr>
      <w:r>
        <w:rPr>
          <w:rFonts w:ascii="Calibri" w:hAnsi="Calibri"/>
        </w:rPr>
        <w:t>The Canadian Coast Guard</w:t>
      </w:r>
      <w:r w:rsidR="004F7976">
        <w:rPr>
          <w:rFonts w:ascii="Calibri" w:hAnsi="Calibri"/>
        </w:rPr>
        <w:t xml:space="preserve"> (CCG)</w:t>
      </w:r>
      <w:r>
        <w:rPr>
          <w:rFonts w:ascii="Calibri" w:hAnsi="Calibri"/>
        </w:rPr>
        <w:t xml:space="preserve"> is currently working on implementing the S-201 Product Specifications. </w:t>
      </w:r>
    </w:p>
    <w:p w14:paraId="4D59A727" w14:textId="3C9A688A" w:rsidR="002B59AF" w:rsidRDefault="002B59AF" w:rsidP="00B56BDF">
      <w:pPr>
        <w:pStyle w:val="BodyText"/>
        <w:rPr>
          <w:rFonts w:ascii="Calibri" w:hAnsi="Calibri"/>
        </w:rPr>
      </w:pPr>
      <w:r>
        <w:rPr>
          <w:rFonts w:ascii="Calibri" w:hAnsi="Calibri"/>
        </w:rPr>
        <w:t>The</w:t>
      </w:r>
      <w:r w:rsidR="005F47C5">
        <w:rPr>
          <w:rFonts w:ascii="Calibri" w:hAnsi="Calibri"/>
        </w:rPr>
        <w:t>y are facing issues regarding</w:t>
      </w:r>
      <w:r>
        <w:rPr>
          <w:rFonts w:ascii="Calibri" w:hAnsi="Calibri"/>
        </w:rPr>
        <w:t xml:space="preserve"> their terms of business not being well reflected in what is available in the </w:t>
      </w:r>
      <w:r w:rsidR="008258EE">
        <w:rPr>
          <w:rFonts w:ascii="Calibri" w:hAnsi="Calibri"/>
        </w:rPr>
        <w:t>s</w:t>
      </w:r>
      <w:r>
        <w:rPr>
          <w:rFonts w:ascii="Calibri" w:hAnsi="Calibri"/>
        </w:rPr>
        <w:t xml:space="preserve">pecifications. </w:t>
      </w:r>
      <w:r w:rsidR="005F47C5">
        <w:rPr>
          <w:rFonts w:ascii="Calibri" w:hAnsi="Calibri"/>
        </w:rPr>
        <w:t>CCG has evaluated that c</w:t>
      </w:r>
      <w:r>
        <w:rPr>
          <w:rFonts w:ascii="Calibri" w:hAnsi="Calibri"/>
        </w:rPr>
        <w:t xml:space="preserve">ertain terminologies can be renamed and reworked, but others are embedded in Canadian law and therefore cannot be approximated without additional explanations to the mariner to bridge the gap. </w:t>
      </w:r>
    </w:p>
    <w:p w14:paraId="3C575A26" w14:textId="2A8A2570" w:rsidR="001C44A3" w:rsidRPr="00605E43" w:rsidRDefault="00BD4E6F" w:rsidP="00605E43">
      <w:pPr>
        <w:pStyle w:val="Heading2"/>
      </w:pPr>
      <w:r w:rsidRPr="00605E43">
        <w:t>Purpose</w:t>
      </w:r>
      <w:r w:rsidR="004D1D85" w:rsidRPr="00605E43">
        <w:t xml:space="preserve"> of the document</w:t>
      </w:r>
      <w:r w:rsidR="009874F9">
        <w:t xml:space="preserve"> </w:t>
      </w:r>
    </w:p>
    <w:p w14:paraId="7E2A4642" w14:textId="4A529E79" w:rsidR="00E55927" w:rsidRPr="007A395D" w:rsidRDefault="002B59AF" w:rsidP="00E55927">
      <w:pPr>
        <w:pStyle w:val="BodyText"/>
        <w:rPr>
          <w:rFonts w:ascii="Calibri" w:hAnsi="Calibri"/>
        </w:rPr>
      </w:pPr>
      <w:r>
        <w:rPr>
          <w:rFonts w:ascii="Calibri" w:hAnsi="Calibri"/>
        </w:rPr>
        <w:t xml:space="preserve">S-201 is at Edition 2.0.0 and is to be updated following the work on S-125. </w:t>
      </w:r>
      <w:r w:rsidR="004F7976">
        <w:rPr>
          <w:rFonts w:ascii="Calibri" w:hAnsi="Calibri"/>
        </w:rPr>
        <w:t xml:space="preserve">CCG </w:t>
      </w:r>
      <w:r>
        <w:rPr>
          <w:rFonts w:ascii="Calibri" w:hAnsi="Calibri"/>
        </w:rPr>
        <w:t xml:space="preserve">would like to propose </w:t>
      </w:r>
      <w:r w:rsidR="00A70194">
        <w:rPr>
          <w:rFonts w:ascii="Calibri" w:hAnsi="Calibri"/>
        </w:rPr>
        <w:t xml:space="preserve">the addition of </w:t>
      </w:r>
      <w:r w:rsidR="00E37ADB">
        <w:rPr>
          <w:rFonts w:ascii="Calibri" w:hAnsi="Calibri"/>
        </w:rPr>
        <w:t xml:space="preserve">“cautionary” to be added to “category of special purpose mark” </w:t>
      </w:r>
      <w:r w:rsidR="00A70194">
        <w:rPr>
          <w:rFonts w:ascii="Calibri" w:hAnsi="Calibri"/>
        </w:rPr>
        <w:t>for</w:t>
      </w:r>
      <w:r>
        <w:rPr>
          <w:rFonts w:ascii="Calibri" w:hAnsi="Calibri"/>
        </w:rPr>
        <w:t xml:space="preserve"> the </w:t>
      </w:r>
      <w:r w:rsidR="00A70194">
        <w:rPr>
          <w:rFonts w:ascii="Calibri" w:hAnsi="Calibri"/>
        </w:rPr>
        <w:t>next</w:t>
      </w:r>
      <w:r>
        <w:rPr>
          <w:rFonts w:ascii="Calibri" w:hAnsi="Calibri"/>
        </w:rPr>
        <w:t xml:space="preserve"> </w:t>
      </w:r>
      <w:r w:rsidR="00E37ADB">
        <w:rPr>
          <w:rFonts w:ascii="Calibri" w:hAnsi="Calibri"/>
        </w:rPr>
        <w:t>edition of S-201</w:t>
      </w:r>
      <w:r>
        <w:rPr>
          <w:rFonts w:ascii="Calibri" w:hAnsi="Calibri"/>
        </w:rPr>
        <w:t xml:space="preserve">. </w:t>
      </w:r>
    </w:p>
    <w:p w14:paraId="36D645BE" w14:textId="77777777" w:rsidR="00B56BDF" w:rsidRPr="007A395D" w:rsidRDefault="00B56BDF" w:rsidP="00605E43">
      <w:pPr>
        <w:pStyle w:val="Heading2"/>
      </w:pPr>
      <w:r w:rsidRPr="007A395D">
        <w:t>Related documents</w:t>
      </w:r>
    </w:p>
    <w:p w14:paraId="512B29E4" w14:textId="599134EB" w:rsidR="00382CAD" w:rsidRDefault="00382CAD" w:rsidP="00382CAD">
      <w:pPr>
        <w:pStyle w:val="BodyText"/>
        <w:numPr>
          <w:ilvl w:val="0"/>
          <w:numId w:val="80"/>
        </w:numPr>
        <w:rPr>
          <w:rFonts w:ascii="Calibri" w:hAnsi="Calibri"/>
        </w:rPr>
      </w:pPr>
      <w:r>
        <w:rPr>
          <w:rFonts w:ascii="Calibri" w:hAnsi="Calibri"/>
        </w:rPr>
        <w:t>IALA S-201 Aids to Navigation Information Product Specification, Ed. 2.0.0, 2025</w:t>
      </w:r>
    </w:p>
    <w:p w14:paraId="3A32E9FE" w14:textId="4B9F55FC" w:rsidR="00EF110C" w:rsidRDefault="00F30497" w:rsidP="00382CAD">
      <w:pPr>
        <w:pStyle w:val="BodyText"/>
        <w:numPr>
          <w:ilvl w:val="0"/>
          <w:numId w:val="80"/>
        </w:numPr>
        <w:rPr>
          <w:rFonts w:ascii="Calibri" w:hAnsi="Calibri"/>
        </w:rPr>
      </w:pPr>
      <w:hyperlink r:id="rId11" w:history="1">
        <w:r>
          <w:rPr>
            <w:rStyle w:val="Hyperlink"/>
            <w:rFonts w:ascii="Calibri" w:hAnsi="Calibri"/>
          </w:rPr>
          <w:t>IALA S-201 AtoN Information GitHub</w:t>
        </w:r>
      </w:hyperlink>
    </w:p>
    <w:p w14:paraId="53733F03" w14:textId="546A82C0" w:rsidR="00A446C9" w:rsidRPr="007A395D" w:rsidRDefault="00A446C9" w:rsidP="00605E43">
      <w:pPr>
        <w:pStyle w:val="Heading1"/>
      </w:pPr>
      <w:r w:rsidRPr="007A395D">
        <w:t>Background</w:t>
      </w:r>
    </w:p>
    <w:p w14:paraId="07452EBC" w14:textId="6A7F24EB" w:rsidR="00A446C9" w:rsidRDefault="004F7976" w:rsidP="00A446C9">
      <w:pPr>
        <w:pStyle w:val="BodyText"/>
        <w:rPr>
          <w:rFonts w:ascii="Calibri" w:hAnsi="Calibri"/>
        </w:rPr>
      </w:pPr>
      <w:r w:rsidRPr="5EA17BDC">
        <w:rPr>
          <w:rFonts w:ascii="Calibri" w:hAnsi="Calibri"/>
        </w:rPr>
        <w:t>CCG</w:t>
      </w:r>
      <w:r w:rsidR="00570088" w:rsidRPr="5EA17BDC">
        <w:rPr>
          <w:rFonts w:ascii="Calibri" w:hAnsi="Calibri"/>
        </w:rPr>
        <w:t>, in conjunction with Transport Canada, determines the categories of special aids to navigation (A</w:t>
      </w:r>
      <w:r w:rsidR="007C26D6" w:rsidRPr="5EA17BDC">
        <w:rPr>
          <w:rFonts w:ascii="Calibri" w:hAnsi="Calibri"/>
        </w:rPr>
        <w:t>t</w:t>
      </w:r>
      <w:r w:rsidR="00570088" w:rsidRPr="5EA17BDC">
        <w:rPr>
          <w:rFonts w:ascii="Calibri" w:hAnsi="Calibri"/>
        </w:rPr>
        <w:t xml:space="preserve">oN). These are defined in the Vessel Operation Restriction Regulations (VORR) which fall under the </w:t>
      </w:r>
      <w:r w:rsidR="00570088" w:rsidRPr="5EA17BDC">
        <w:rPr>
          <w:rFonts w:ascii="Calibri" w:hAnsi="Calibri"/>
          <w:i/>
          <w:iCs/>
        </w:rPr>
        <w:t>Canada Shipping Act, 2001</w:t>
      </w:r>
      <w:r w:rsidR="00570088" w:rsidRPr="5EA17BDC">
        <w:rPr>
          <w:rFonts w:ascii="Calibri" w:hAnsi="Calibri"/>
        </w:rPr>
        <w:t>. The VORR governs the markings of any buoy used to restrict navigation</w:t>
      </w:r>
      <w:r w:rsidR="753CD76D" w:rsidRPr="5EA17BDC">
        <w:rPr>
          <w:rFonts w:ascii="Calibri" w:hAnsi="Calibri"/>
        </w:rPr>
        <w:t xml:space="preserve">, </w:t>
      </w:r>
      <w:r w:rsidR="00570088" w:rsidRPr="5EA17BDC">
        <w:rPr>
          <w:rFonts w:ascii="Calibri" w:hAnsi="Calibri"/>
        </w:rPr>
        <w:t xml:space="preserve">e.g. </w:t>
      </w:r>
      <w:r w:rsidR="007C26D6" w:rsidRPr="5EA17BDC">
        <w:rPr>
          <w:rFonts w:ascii="Calibri" w:hAnsi="Calibri"/>
        </w:rPr>
        <w:t>s</w:t>
      </w:r>
      <w:r w:rsidR="00570088" w:rsidRPr="5EA17BDC">
        <w:rPr>
          <w:rFonts w:ascii="Calibri" w:hAnsi="Calibri"/>
        </w:rPr>
        <w:t>peed limits, keep</w:t>
      </w:r>
      <w:r w:rsidR="007715E4" w:rsidRPr="5EA17BDC">
        <w:rPr>
          <w:rFonts w:ascii="Calibri" w:hAnsi="Calibri"/>
        </w:rPr>
        <w:t>-</w:t>
      </w:r>
      <w:r w:rsidR="00570088" w:rsidRPr="5EA17BDC">
        <w:rPr>
          <w:rFonts w:ascii="Calibri" w:hAnsi="Calibri"/>
        </w:rPr>
        <w:t>out areas, etc. Cautionary A</w:t>
      </w:r>
      <w:r w:rsidR="007C26D6" w:rsidRPr="5EA17BDC">
        <w:rPr>
          <w:rFonts w:ascii="Calibri" w:hAnsi="Calibri"/>
        </w:rPr>
        <w:t>t</w:t>
      </w:r>
      <w:r w:rsidR="00570088" w:rsidRPr="5EA17BDC">
        <w:rPr>
          <w:rFonts w:ascii="Calibri" w:hAnsi="Calibri"/>
        </w:rPr>
        <w:t>oNs, particularly buoys, are described in this document.</w:t>
      </w:r>
    </w:p>
    <w:p w14:paraId="51DDFC37" w14:textId="2C6E8F95" w:rsidR="00187AA5" w:rsidRDefault="00187AA5" w:rsidP="00B21AE5">
      <w:pPr>
        <w:pStyle w:val="BodyText"/>
        <w:keepNext/>
        <w:rPr>
          <w:rFonts w:ascii="Calibri" w:hAnsi="Calibri"/>
        </w:rPr>
      </w:pPr>
      <w:r w:rsidRPr="00187AA5">
        <w:rPr>
          <w:rFonts w:ascii="Calibri" w:hAnsi="Calibri"/>
        </w:rPr>
        <w:t>Cautionary buoys</w:t>
      </w:r>
      <w:r w:rsidR="007715E4">
        <w:rPr>
          <w:rFonts w:ascii="Calibri" w:hAnsi="Calibri"/>
        </w:rPr>
        <w:t xml:space="preserve"> are defined as</w:t>
      </w:r>
      <w:r w:rsidRPr="00187AA5">
        <w:rPr>
          <w:rFonts w:ascii="Calibri" w:hAnsi="Calibri"/>
        </w:rPr>
        <w:t xml:space="preserve"> mark</w:t>
      </w:r>
      <w:r w:rsidR="007715E4">
        <w:rPr>
          <w:rFonts w:ascii="Calibri" w:hAnsi="Calibri"/>
        </w:rPr>
        <w:t>ing</w:t>
      </w:r>
      <w:r w:rsidRPr="00187AA5">
        <w:rPr>
          <w:rFonts w:ascii="Calibri" w:hAnsi="Calibri"/>
        </w:rPr>
        <w:t xml:space="preserve"> an area where mariners are to be warned of:</w:t>
      </w:r>
    </w:p>
    <w:p w14:paraId="1BEF2129" w14:textId="77777777" w:rsidR="001E1816" w:rsidRPr="001E1816" w:rsidRDefault="001E1816" w:rsidP="009F7F9C">
      <w:pPr>
        <w:pStyle w:val="Bullet1"/>
        <w:suppressAutoHyphens/>
      </w:pPr>
      <w:r w:rsidRPr="001E1816">
        <w:t xml:space="preserve">aquaculture facilities;  </w:t>
      </w:r>
    </w:p>
    <w:p w14:paraId="597728C6" w14:textId="7606616D" w:rsidR="001E1816" w:rsidRPr="001E1816" w:rsidRDefault="001E1816" w:rsidP="009F7F9C">
      <w:pPr>
        <w:pStyle w:val="Bullet1"/>
        <w:suppressAutoHyphens/>
      </w:pPr>
      <w:r>
        <w:t xml:space="preserve">dangers </w:t>
      </w:r>
      <w:r w:rsidR="007715E4">
        <w:t>(</w:t>
      </w:r>
      <w:r>
        <w:t xml:space="preserve">such as </w:t>
      </w:r>
      <w:r w:rsidR="00F0779C">
        <w:t xml:space="preserve">firing ranges, </w:t>
      </w:r>
      <w:r>
        <w:t xml:space="preserve">racing courses, seaplane bases, </w:t>
      </w:r>
      <w:r w:rsidR="48CED479">
        <w:t xml:space="preserve">and </w:t>
      </w:r>
      <w:r>
        <w:t>underwater structures</w:t>
      </w:r>
      <w:r w:rsidR="007715E4">
        <w:t>)</w:t>
      </w:r>
      <w:r>
        <w:t xml:space="preserve">;  </w:t>
      </w:r>
    </w:p>
    <w:p w14:paraId="58ECAAAD" w14:textId="1E3C17F6" w:rsidR="001E1816" w:rsidRPr="001E1816" w:rsidRDefault="001E1816" w:rsidP="009F7F9C">
      <w:pPr>
        <w:pStyle w:val="Bullet1"/>
        <w:suppressAutoHyphens/>
      </w:pPr>
      <w:r w:rsidRPr="001E1816">
        <w:t xml:space="preserve">areas where no safe through </w:t>
      </w:r>
      <w:r w:rsidR="00F0779C">
        <w:t>channel</w:t>
      </w:r>
      <w:r w:rsidRPr="001E1816">
        <w:t xml:space="preserve"> exi</w:t>
      </w:r>
      <w:r w:rsidR="00F0779C">
        <w:t>s</w:t>
      </w:r>
      <w:r w:rsidRPr="001E1816">
        <w:t xml:space="preserve">ts; and  </w:t>
      </w:r>
    </w:p>
    <w:p w14:paraId="24281FA6" w14:textId="001274C3" w:rsidR="001E1816" w:rsidRPr="001E1816" w:rsidRDefault="001E1816" w:rsidP="009F7F9C">
      <w:pPr>
        <w:pStyle w:val="Bullet1"/>
        <w:suppressAutoHyphens/>
      </w:pPr>
      <w:r w:rsidRPr="001E1816">
        <w:t xml:space="preserve">traffic separations. </w:t>
      </w:r>
    </w:p>
    <w:p w14:paraId="5F390622" w14:textId="77777777" w:rsidR="00A83C40" w:rsidRDefault="00A83C40">
      <w:pPr>
        <w:spacing w:line="240" w:lineRule="auto"/>
        <w:rPr>
          <w:rFonts w:ascii="Calibri" w:hAnsi="Calibri"/>
          <w:sz w:val="22"/>
        </w:rPr>
      </w:pPr>
      <w:r>
        <w:rPr>
          <w:rFonts w:ascii="Calibri" w:hAnsi="Calibri"/>
        </w:rPr>
        <w:br w:type="page"/>
      </w:r>
    </w:p>
    <w:p w14:paraId="2374734C" w14:textId="7ECB7AF5" w:rsidR="00F56969" w:rsidRDefault="00B21AE5" w:rsidP="00B21AE5">
      <w:pPr>
        <w:pStyle w:val="BodyText"/>
        <w:keepNext/>
        <w:rPr>
          <w:rFonts w:ascii="Calibri" w:hAnsi="Calibri"/>
        </w:rPr>
      </w:pPr>
      <w:r w:rsidRPr="00B21AE5">
        <w:rPr>
          <w:rFonts w:ascii="Calibri" w:hAnsi="Calibri"/>
        </w:rPr>
        <w:lastRenderedPageBreak/>
        <w:t>A cautionary buoy is coloured yellow</w:t>
      </w:r>
      <w:r w:rsidR="00F56969">
        <w:rPr>
          <w:rFonts w:ascii="Calibri" w:hAnsi="Calibri"/>
        </w:rPr>
        <w:t xml:space="preserve"> and </w:t>
      </w:r>
      <w:r w:rsidRPr="00B21AE5">
        <w:rPr>
          <w:rFonts w:ascii="Calibri" w:hAnsi="Calibri"/>
        </w:rPr>
        <w:t>displays identification letter(s)</w:t>
      </w:r>
      <w:r w:rsidR="00F56969">
        <w:rPr>
          <w:rFonts w:ascii="Calibri" w:hAnsi="Calibri"/>
        </w:rPr>
        <w:t>.</w:t>
      </w:r>
      <w:r w:rsidRPr="00B21AE5">
        <w:rPr>
          <w:rFonts w:ascii="Calibri" w:hAnsi="Calibri"/>
        </w:rPr>
        <w:t xml:space="preserve"> </w:t>
      </w:r>
    </w:p>
    <w:p w14:paraId="7669B243" w14:textId="6C7C03DA" w:rsidR="00B21AE5" w:rsidRPr="00F56969" w:rsidRDefault="00DE0663" w:rsidP="00F56969">
      <w:pPr>
        <w:pStyle w:val="Bullet1"/>
        <w:suppressAutoHyphens/>
      </w:pPr>
      <w:r>
        <w:t xml:space="preserve">If </w:t>
      </w:r>
      <w:r w:rsidR="00B21AE5" w:rsidRPr="00F56969">
        <w:t>it carries a topmark, the topmark is a single yellow “X” shape</w:t>
      </w:r>
      <w:r>
        <w:t>.</w:t>
      </w:r>
      <w:r w:rsidR="00B21AE5" w:rsidRPr="00F56969">
        <w:t xml:space="preserve"> </w:t>
      </w:r>
    </w:p>
    <w:p w14:paraId="2B9CDEAE" w14:textId="456EB925" w:rsidR="00B21AE5" w:rsidRPr="00B21AE5" w:rsidRDefault="00DE0663" w:rsidP="009F7F9C">
      <w:pPr>
        <w:pStyle w:val="Bullet1"/>
        <w:suppressAutoHyphens/>
      </w:pPr>
      <w:r>
        <w:t xml:space="preserve">If it carries a light, the light is yellow and </w:t>
      </w:r>
      <w:r w:rsidR="6D1E8754">
        <w:t>has a</w:t>
      </w:r>
      <w:r>
        <w:t xml:space="preserve"> flashing </w:t>
      </w:r>
      <w:r w:rsidR="11E254D8">
        <w:t>(Fl) light characteristic with a signal period of</w:t>
      </w:r>
      <w:r>
        <w:t xml:space="preserve"> four second</w:t>
      </w:r>
      <w:r w:rsidR="008C4814">
        <w:t>s</w:t>
      </w:r>
      <w:r>
        <w:t xml:space="preserve"> (</w:t>
      </w:r>
      <w:r w:rsidR="55541DB6">
        <w:t>4</w:t>
      </w:r>
      <w:r w:rsidR="50B17CC1">
        <w:t xml:space="preserve"> </w:t>
      </w:r>
      <w:r w:rsidR="55541DB6">
        <w:t>s</w:t>
      </w:r>
      <w:r>
        <w:t xml:space="preserve">). </w:t>
      </w:r>
      <w:r w:rsidR="00B21AE5" w:rsidRPr="00B21AE5">
        <w:t xml:space="preserve">  </w:t>
      </w:r>
    </w:p>
    <w:p w14:paraId="6A83442B" w14:textId="2B529AB7" w:rsidR="00B21AE5" w:rsidRPr="00B21AE5" w:rsidRDefault="00F66B7F" w:rsidP="009F7F9C">
      <w:pPr>
        <w:pStyle w:val="Bullet1"/>
        <w:suppressAutoHyphens/>
      </w:pPr>
      <w:r>
        <w:t>If it carries r</w:t>
      </w:r>
      <w:r w:rsidR="00B21AE5" w:rsidRPr="00B21AE5">
        <w:t xml:space="preserve">etroreflective material, </w:t>
      </w:r>
      <w:r>
        <w:t>such material is yellow.</w:t>
      </w:r>
      <w:r w:rsidR="00B21AE5" w:rsidRPr="00B21AE5">
        <w:t xml:space="preserve"> </w:t>
      </w:r>
    </w:p>
    <w:p w14:paraId="31BEDACE" w14:textId="42ABA1C4" w:rsidR="00D91BD9" w:rsidRDefault="41D00DEA" w:rsidP="00D91BD9">
      <w:pPr>
        <w:pStyle w:val="BodyText"/>
        <w:suppressAutoHyphens/>
        <w:jc w:val="center"/>
      </w:pPr>
      <w:r>
        <w:rPr>
          <w:noProof/>
        </w:rPr>
        <w:drawing>
          <wp:inline distT="0" distB="0" distL="0" distR="0" wp14:anchorId="6F1869C0" wp14:editId="3DD37CBF">
            <wp:extent cx="2024435" cy="770162"/>
            <wp:effectExtent l="19050" t="19050" r="13970" b="11430"/>
            <wp:docPr id="878315809" name="Picture 1" descr="A diagram of a blue and black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315809" name="Picture 1" descr="A diagram of a blue and black line&#10;&#10;AI-generated content may be incorrect."/>
                    <pic:cNvPicPr preferRelativeResize="0"/>
                  </pic:nvPicPr>
                  <pic:blipFill rotWithShape="1">
                    <a:blip r:embed="rId12"/>
                    <a:srcRect l="7851" t="14626" r="8115" b="14450"/>
                    <a:stretch/>
                  </pic:blipFill>
                  <pic:spPr bwMode="auto">
                    <a:xfrm>
                      <a:off x="0" y="0"/>
                      <a:ext cx="2028601" cy="771747"/>
                    </a:xfrm>
                    <a:prstGeom prst="rect">
                      <a:avLst/>
                    </a:prstGeom>
                    <a:ln w="9525" cap="flat" cmpd="sng" algn="ctr">
                      <a:solidFill>
                        <a:srgbClr val="4F81BD"/>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01DCD733" w14:textId="30809C46" w:rsidR="00D91BD9" w:rsidRDefault="009637F4" w:rsidP="25F98794">
      <w:pPr>
        <w:pStyle w:val="Figurecaption"/>
        <w:tabs>
          <w:tab w:val="left" w:pos="720"/>
        </w:tabs>
        <w:suppressAutoHyphens/>
      </w:pPr>
      <w:r>
        <w:t xml:space="preserve">   Drawing</w:t>
      </w:r>
      <w:r w:rsidR="00F75FA5">
        <w:t xml:space="preserve"> of a Cautionary Buoy with its </w:t>
      </w:r>
      <w:r>
        <w:t>Light Characteristic</w:t>
      </w:r>
      <w:r w:rsidR="00E7182C">
        <w:t>s</w:t>
      </w:r>
    </w:p>
    <w:p w14:paraId="041E9135" w14:textId="77777777" w:rsidR="00A446C9" w:rsidRDefault="00A446C9" w:rsidP="00605E43">
      <w:pPr>
        <w:pStyle w:val="Heading1"/>
      </w:pPr>
      <w:r w:rsidRPr="007A395D">
        <w:t>Discussion</w:t>
      </w:r>
    </w:p>
    <w:p w14:paraId="1EC8E61A" w14:textId="085A6FE3" w:rsidR="00EB2FB6" w:rsidRDefault="00C6580E" w:rsidP="00EB2FB6">
      <w:pPr>
        <w:pStyle w:val="Heading2"/>
        <w:numPr>
          <w:ilvl w:val="1"/>
          <w:numId w:val="82"/>
        </w:numPr>
      </w:pPr>
      <w:r>
        <w:t xml:space="preserve">Consideration of Cautionary </w:t>
      </w:r>
      <w:r w:rsidR="00463219">
        <w:t>as their own Class of AtoN</w:t>
      </w:r>
    </w:p>
    <w:p w14:paraId="150B72AD" w14:textId="25BF8C76" w:rsidR="004D4EF6" w:rsidRDefault="00D91BD9" w:rsidP="00D91BD9">
      <w:pPr>
        <w:pStyle w:val="BodyText"/>
        <w:rPr>
          <w:rFonts w:ascii="Calibri" w:hAnsi="Calibri"/>
        </w:rPr>
      </w:pPr>
      <w:r w:rsidRPr="00D91BD9">
        <w:rPr>
          <w:rFonts w:ascii="Calibri" w:hAnsi="Calibri"/>
        </w:rPr>
        <w:t xml:space="preserve">In Canada, cautionary </w:t>
      </w:r>
      <w:r w:rsidR="00971E6D">
        <w:rPr>
          <w:rFonts w:ascii="Calibri" w:hAnsi="Calibri"/>
        </w:rPr>
        <w:t>AtoN have</w:t>
      </w:r>
      <w:r w:rsidRPr="00D91BD9">
        <w:rPr>
          <w:rFonts w:ascii="Calibri" w:hAnsi="Calibri"/>
        </w:rPr>
        <w:t xml:space="preserve"> predetermined </w:t>
      </w:r>
      <w:r w:rsidR="00971E6D">
        <w:rPr>
          <w:rFonts w:ascii="Calibri" w:hAnsi="Calibri"/>
        </w:rPr>
        <w:t xml:space="preserve">and </w:t>
      </w:r>
      <w:r w:rsidRPr="00D91BD9">
        <w:rPr>
          <w:rFonts w:ascii="Calibri" w:hAnsi="Calibri"/>
        </w:rPr>
        <w:t xml:space="preserve">specific characteristics. Although some functionality of </w:t>
      </w:r>
      <w:r w:rsidR="00C02615">
        <w:rPr>
          <w:rFonts w:ascii="Calibri" w:hAnsi="Calibri"/>
        </w:rPr>
        <w:t>c</w:t>
      </w:r>
      <w:r w:rsidRPr="00D91BD9">
        <w:rPr>
          <w:rFonts w:ascii="Calibri" w:hAnsi="Calibri"/>
        </w:rPr>
        <w:t xml:space="preserve">autionary buoys </w:t>
      </w:r>
      <w:r w:rsidR="0025431E">
        <w:rPr>
          <w:rFonts w:ascii="Calibri" w:hAnsi="Calibri"/>
        </w:rPr>
        <w:t>can be mapped to</w:t>
      </w:r>
      <w:r w:rsidRPr="00D91BD9">
        <w:rPr>
          <w:rFonts w:ascii="Calibri" w:hAnsi="Calibri"/>
        </w:rPr>
        <w:t xml:space="preserve"> more specific options </w:t>
      </w:r>
      <w:r w:rsidR="00F777D5">
        <w:rPr>
          <w:rFonts w:ascii="Calibri" w:hAnsi="Calibri"/>
        </w:rPr>
        <w:t xml:space="preserve">found </w:t>
      </w:r>
      <w:r w:rsidRPr="00D91BD9">
        <w:rPr>
          <w:rFonts w:ascii="Calibri" w:hAnsi="Calibri"/>
        </w:rPr>
        <w:t xml:space="preserve">in the </w:t>
      </w:r>
      <w:r w:rsidR="004D4EF6">
        <w:rPr>
          <w:rFonts w:ascii="Calibri" w:hAnsi="Calibri"/>
        </w:rPr>
        <w:t>“category of special purpose mark”</w:t>
      </w:r>
      <w:r w:rsidRPr="00D91BD9">
        <w:rPr>
          <w:rFonts w:ascii="Calibri" w:hAnsi="Calibri"/>
        </w:rPr>
        <w:t xml:space="preserve"> </w:t>
      </w:r>
      <w:r w:rsidR="00C02615">
        <w:rPr>
          <w:rFonts w:ascii="Calibri" w:hAnsi="Calibri"/>
        </w:rPr>
        <w:t>(</w:t>
      </w:r>
      <w:r w:rsidRPr="00D91BD9">
        <w:rPr>
          <w:rFonts w:ascii="Calibri" w:hAnsi="Calibri"/>
        </w:rPr>
        <w:t>e</w:t>
      </w:r>
      <w:r w:rsidR="00C02615">
        <w:rPr>
          <w:rFonts w:ascii="Calibri" w:hAnsi="Calibri"/>
        </w:rPr>
        <w:t>.</w:t>
      </w:r>
      <w:r w:rsidRPr="00D91BD9">
        <w:rPr>
          <w:rFonts w:ascii="Calibri" w:hAnsi="Calibri"/>
        </w:rPr>
        <w:t>g</w:t>
      </w:r>
      <w:r w:rsidR="00C02615">
        <w:rPr>
          <w:rFonts w:ascii="Calibri" w:hAnsi="Calibri"/>
        </w:rPr>
        <w:t>.</w:t>
      </w:r>
      <w:r w:rsidRPr="00D91BD9">
        <w:rPr>
          <w:rFonts w:ascii="Calibri" w:hAnsi="Calibri"/>
        </w:rPr>
        <w:t xml:space="preserve"> traffic separation</w:t>
      </w:r>
      <w:r w:rsidR="00F777D5">
        <w:rPr>
          <w:rFonts w:ascii="Calibri" w:hAnsi="Calibri"/>
        </w:rPr>
        <w:t xml:space="preserve"> and</w:t>
      </w:r>
      <w:r w:rsidRPr="00D91BD9">
        <w:rPr>
          <w:rFonts w:ascii="Calibri" w:hAnsi="Calibri"/>
        </w:rPr>
        <w:t xml:space="preserve"> firing ranges</w:t>
      </w:r>
      <w:r w:rsidR="00C02615">
        <w:rPr>
          <w:rFonts w:ascii="Calibri" w:hAnsi="Calibri"/>
        </w:rPr>
        <w:t>)</w:t>
      </w:r>
      <w:r w:rsidRPr="00D91BD9">
        <w:rPr>
          <w:rFonts w:ascii="Calibri" w:hAnsi="Calibri"/>
        </w:rPr>
        <w:t xml:space="preserve">, not all cautionary buoys require that specificity. </w:t>
      </w:r>
    </w:p>
    <w:p w14:paraId="092ACD23" w14:textId="5C49046F" w:rsidR="000B5BB7" w:rsidRDefault="00F777D5" w:rsidP="00D91BD9">
      <w:pPr>
        <w:pStyle w:val="BodyText"/>
        <w:rPr>
          <w:rFonts w:ascii="Calibri" w:hAnsi="Calibri"/>
        </w:rPr>
      </w:pPr>
      <w:r>
        <w:rPr>
          <w:rFonts w:ascii="Calibri" w:hAnsi="Calibri"/>
        </w:rPr>
        <w:t>“</w:t>
      </w:r>
      <w:r w:rsidR="00D91BD9" w:rsidRPr="00D91BD9">
        <w:rPr>
          <w:rFonts w:ascii="Calibri" w:hAnsi="Calibri"/>
        </w:rPr>
        <w:t>Cautionary</w:t>
      </w:r>
      <w:r>
        <w:rPr>
          <w:rFonts w:ascii="Calibri" w:hAnsi="Calibri"/>
        </w:rPr>
        <w:t>”</w:t>
      </w:r>
      <w:r w:rsidR="00D91BD9" w:rsidRPr="00D91BD9">
        <w:rPr>
          <w:rFonts w:ascii="Calibri" w:hAnsi="Calibri"/>
        </w:rPr>
        <w:t xml:space="preserve"> clearly identifies a middle road between the highly defined choices of special purpose marks and the catch-all </w:t>
      </w:r>
      <w:r w:rsidR="00B270F3">
        <w:rPr>
          <w:rFonts w:ascii="Calibri" w:hAnsi="Calibri"/>
        </w:rPr>
        <w:t>“</w:t>
      </w:r>
      <w:r w:rsidR="00D91BD9" w:rsidRPr="00D91BD9">
        <w:rPr>
          <w:rFonts w:ascii="Calibri" w:hAnsi="Calibri"/>
        </w:rPr>
        <w:t>general warning mark</w:t>
      </w:r>
      <w:r w:rsidR="00B270F3">
        <w:rPr>
          <w:rFonts w:ascii="Calibri" w:hAnsi="Calibri"/>
        </w:rPr>
        <w:t xml:space="preserve">,” which </w:t>
      </w:r>
      <w:r>
        <w:rPr>
          <w:rFonts w:ascii="Calibri" w:hAnsi="Calibri"/>
        </w:rPr>
        <w:t xml:space="preserve">on charts </w:t>
      </w:r>
      <w:r w:rsidR="00B270F3">
        <w:rPr>
          <w:rFonts w:ascii="Calibri" w:hAnsi="Calibri"/>
        </w:rPr>
        <w:t>is often applied to certain Canadian AtoN due to the lack of other applicable options</w:t>
      </w:r>
      <w:r w:rsidR="00D91BD9" w:rsidRPr="00D91BD9">
        <w:rPr>
          <w:rFonts w:ascii="Calibri" w:hAnsi="Calibri"/>
        </w:rPr>
        <w:t xml:space="preserve">. </w:t>
      </w:r>
    </w:p>
    <w:p w14:paraId="7A718257" w14:textId="2E995D9E" w:rsidR="00D91BD9" w:rsidRDefault="00D91BD9" w:rsidP="00D91BD9">
      <w:pPr>
        <w:pStyle w:val="BodyText"/>
        <w:rPr>
          <w:rFonts w:ascii="Calibri" w:hAnsi="Calibri"/>
        </w:rPr>
      </w:pPr>
      <w:r w:rsidRPr="00D91BD9">
        <w:rPr>
          <w:rFonts w:ascii="Calibri" w:hAnsi="Calibri"/>
        </w:rPr>
        <w:t>The defined flash characteristics and colo</w:t>
      </w:r>
      <w:r w:rsidR="004A1865">
        <w:rPr>
          <w:rFonts w:ascii="Calibri" w:hAnsi="Calibri"/>
        </w:rPr>
        <w:t>u</w:t>
      </w:r>
      <w:r w:rsidRPr="00D91BD9">
        <w:rPr>
          <w:rFonts w:ascii="Calibri" w:hAnsi="Calibri"/>
        </w:rPr>
        <w:t>r of th</w:t>
      </w:r>
      <w:r w:rsidR="007A0357">
        <w:rPr>
          <w:rFonts w:ascii="Calibri" w:hAnsi="Calibri"/>
        </w:rPr>
        <w:t>is</w:t>
      </w:r>
      <w:r w:rsidRPr="00D91BD9">
        <w:rPr>
          <w:rFonts w:ascii="Calibri" w:hAnsi="Calibri"/>
        </w:rPr>
        <w:t xml:space="preserve"> A</w:t>
      </w:r>
      <w:r w:rsidR="004A1865">
        <w:rPr>
          <w:rFonts w:ascii="Calibri" w:hAnsi="Calibri"/>
        </w:rPr>
        <w:t>t</w:t>
      </w:r>
      <w:r w:rsidRPr="00D91BD9">
        <w:rPr>
          <w:rFonts w:ascii="Calibri" w:hAnsi="Calibri"/>
        </w:rPr>
        <w:t xml:space="preserve">oN provides additional information that would not be shared with other special purpose general mark </w:t>
      </w:r>
      <w:r w:rsidR="004A1865">
        <w:rPr>
          <w:rFonts w:ascii="Calibri" w:hAnsi="Calibri"/>
        </w:rPr>
        <w:t>AtoN</w:t>
      </w:r>
      <w:r w:rsidRPr="00D91BD9">
        <w:rPr>
          <w:rFonts w:ascii="Calibri" w:hAnsi="Calibri"/>
        </w:rPr>
        <w:t>s</w:t>
      </w:r>
      <w:r w:rsidR="004A1865">
        <w:rPr>
          <w:rFonts w:ascii="Calibri" w:hAnsi="Calibri"/>
        </w:rPr>
        <w:t>,</w:t>
      </w:r>
      <w:r w:rsidRPr="00D91BD9">
        <w:rPr>
          <w:rFonts w:ascii="Calibri" w:hAnsi="Calibri"/>
        </w:rPr>
        <w:t xml:space="preserve"> e</w:t>
      </w:r>
      <w:r w:rsidR="004A1865">
        <w:rPr>
          <w:rFonts w:ascii="Calibri" w:hAnsi="Calibri"/>
        </w:rPr>
        <w:t>.</w:t>
      </w:r>
      <w:r w:rsidRPr="00D91BD9">
        <w:rPr>
          <w:rFonts w:ascii="Calibri" w:hAnsi="Calibri"/>
        </w:rPr>
        <w:t>g</w:t>
      </w:r>
      <w:r w:rsidR="004A1865">
        <w:rPr>
          <w:rFonts w:ascii="Calibri" w:hAnsi="Calibri"/>
        </w:rPr>
        <w:t>.</w:t>
      </w:r>
      <w:r w:rsidRPr="00D91BD9">
        <w:rPr>
          <w:rFonts w:ascii="Calibri" w:hAnsi="Calibri"/>
        </w:rPr>
        <w:t xml:space="preserve"> white beacons with white lights. </w:t>
      </w:r>
    </w:p>
    <w:p w14:paraId="04E3644E" w14:textId="77777777" w:rsidR="00D801D3" w:rsidRDefault="00D801D3" w:rsidP="00D801D3">
      <w:pPr>
        <w:pStyle w:val="BodyText"/>
        <w:rPr>
          <w:rFonts w:ascii="Calibri" w:hAnsi="Calibri"/>
        </w:rPr>
      </w:pPr>
      <w:r>
        <w:rPr>
          <w:rFonts w:ascii="Calibri" w:hAnsi="Calibri"/>
        </w:rPr>
        <w:t xml:space="preserve">Cautionary AtoN is one example that CCG would like to put forward. With that consideration, the proposal of a way forward to include additional entries to the “category of special purpose mark” enumerated list is also worth discussing as there are other examples from the CCG that could be defined and added to it. </w:t>
      </w:r>
    </w:p>
    <w:p w14:paraId="7869E777" w14:textId="7096A36B" w:rsidR="00EB2FB6" w:rsidRDefault="00833E2F" w:rsidP="00EB2FB6">
      <w:pPr>
        <w:pStyle w:val="Heading2"/>
        <w:numPr>
          <w:ilvl w:val="1"/>
          <w:numId w:val="82"/>
        </w:numPr>
      </w:pPr>
      <w:r>
        <w:t xml:space="preserve">Consideration </w:t>
      </w:r>
      <w:r w:rsidR="0041208B">
        <w:t>of a</w:t>
      </w:r>
      <w:r w:rsidR="00074214">
        <w:t xml:space="preserve"> Process for </w:t>
      </w:r>
      <w:r w:rsidR="0099200C">
        <w:t>Discussi</w:t>
      </w:r>
      <w:r w:rsidR="00F215CE">
        <w:t>ons Leading to</w:t>
      </w:r>
      <w:r w:rsidR="0099200C">
        <w:t xml:space="preserve"> </w:t>
      </w:r>
      <w:r w:rsidR="00074214">
        <w:t>Propos</w:t>
      </w:r>
      <w:r w:rsidR="00F215CE">
        <w:t xml:space="preserve">als to be Incorporated into </w:t>
      </w:r>
      <w:r w:rsidR="001B3F34">
        <w:t>Future S-201 Editions</w:t>
      </w:r>
    </w:p>
    <w:p w14:paraId="5C6291D9" w14:textId="16702C1E" w:rsidR="0099200C" w:rsidRDefault="00D91BD9" w:rsidP="00D91BD9">
      <w:pPr>
        <w:pStyle w:val="BodyText"/>
        <w:rPr>
          <w:rFonts w:ascii="Calibri" w:hAnsi="Calibri"/>
        </w:rPr>
      </w:pPr>
      <w:r w:rsidRPr="00D91BD9">
        <w:rPr>
          <w:rFonts w:ascii="Calibri" w:hAnsi="Calibri"/>
        </w:rPr>
        <w:t>As this standard matures</w:t>
      </w:r>
      <w:r w:rsidR="0099200C">
        <w:rPr>
          <w:rFonts w:ascii="Calibri" w:hAnsi="Calibri"/>
        </w:rPr>
        <w:t xml:space="preserve"> over the course of testing and implementation by the various member states</w:t>
      </w:r>
      <w:r w:rsidR="00262C4A">
        <w:rPr>
          <w:rFonts w:ascii="Calibri" w:hAnsi="Calibri"/>
        </w:rPr>
        <w:t xml:space="preserve"> and interested stakeholders</w:t>
      </w:r>
      <w:r w:rsidRPr="00D91BD9">
        <w:rPr>
          <w:rFonts w:ascii="Calibri" w:hAnsi="Calibri"/>
        </w:rPr>
        <w:t>,</w:t>
      </w:r>
      <w:r w:rsidR="0099200C">
        <w:rPr>
          <w:rFonts w:ascii="Calibri" w:hAnsi="Calibri"/>
        </w:rPr>
        <w:t xml:space="preserve"> there should be a process for discussing and proposing modifications for future</w:t>
      </w:r>
      <w:r w:rsidR="00440AA6">
        <w:rPr>
          <w:rFonts w:ascii="Calibri" w:hAnsi="Calibri"/>
        </w:rPr>
        <w:t xml:space="preserve"> editions of</w:t>
      </w:r>
      <w:r w:rsidR="0099200C">
        <w:rPr>
          <w:rFonts w:ascii="Calibri" w:hAnsi="Calibri"/>
        </w:rPr>
        <w:t xml:space="preserve"> S-201. The </w:t>
      </w:r>
      <w:r w:rsidR="00857E12">
        <w:rPr>
          <w:rFonts w:ascii="Calibri" w:hAnsi="Calibri"/>
        </w:rPr>
        <w:t xml:space="preserve">IALA </w:t>
      </w:r>
      <w:r w:rsidR="0099200C">
        <w:rPr>
          <w:rFonts w:ascii="Calibri" w:hAnsi="Calibri"/>
        </w:rPr>
        <w:t xml:space="preserve">S-201 </w:t>
      </w:r>
      <w:r w:rsidR="00857E12">
        <w:rPr>
          <w:rFonts w:ascii="Calibri" w:hAnsi="Calibri"/>
        </w:rPr>
        <w:t xml:space="preserve">AtoN Information </w:t>
      </w:r>
      <w:r w:rsidR="0099200C">
        <w:rPr>
          <w:rFonts w:ascii="Calibri" w:hAnsi="Calibri"/>
        </w:rPr>
        <w:t>GitHub</w:t>
      </w:r>
      <w:r w:rsidR="00857E12">
        <w:rPr>
          <w:rFonts w:ascii="Calibri" w:hAnsi="Calibri"/>
        </w:rPr>
        <w:t xml:space="preserve"> appears to be the best place to bring up questions</w:t>
      </w:r>
      <w:r w:rsidR="00966999">
        <w:rPr>
          <w:rFonts w:ascii="Calibri" w:hAnsi="Calibri"/>
        </w:rPr>
        <w:t xml:space="preserve"> and incite discussion with other member states</w:t>
      </w:r>
      <w:r w:rsidR="00440AA6">
        <w:rPr>
          <w:rFonts w:ascii="Calibri" w:hAnsi="Calibri"/>
        </w:rPr>
        <w:t xml:space="preserve"> and interested stakeholders</w:t>
      </w:r>
      <w:r w:rsidR="00966999">
        <w:rPr>
          <w:rFonts w:ascii="Calibri" w:hAnsi="Calibri"/>
        </w:rPr>
        <w:t xml:space="preserve"> that will lead to clarity</w:t>
      </w:r>
      <w:r w:rsidR="005556C2">
        <w:rPr>
          <w:rFonts w:ascii="Calibri" w:hAnsi="Calibri"/>
        </w:rPr>
        <w:t xml:space="preserve"> and </w:t>
      </w:r>
      <w:r w:rsidR="00966999">
        <w:rPr>
          <w:rFonts w:ascii="Calibri" w:hAnsi="Calibri"/>
        </w:rPr>
        <w:t xml:space="preserve">even </w:t>
      </w:r>
      <w:r w:rsidR="005556C2">
        <w:rPr>
          <w:rFonts w:ascii="Calibri" w:hAnsi="Calibri"/>
        </w:rPr>
        <w:t>propos</w:t>
      </w:r>
      <w:r w:rsidR="00966999">
        <w:rPr>
          <w:rFonts w:ascii="Calibri" w:hAnsi="Calibri"/>
        </w:rPr>
        <w:t xml:space="preserve">als </w:t>
      </w:r>
      <w:r w:rsidR="00706336">
        <w:rPr>
          <w:rFonts w:ascii="Calibri" w:hAnsi="Calibri"/>
        </w:rPr>
        <w:t xml:space="preserve">to be incorporated into future S-201 editions. </w:t>
      </w:r>
      <w:r w:rsidR="0099200C">
        <w:rPr>
          <w:rFonts w:ascii="Calibri" w:hAnsi="Calibri"/>
        </w:rPr>
        <w:t xml:space="preserve"> </w:t>
      </w:r>
    </w:p>
    <w:p w14:paraId="1D083D92" w14:textId="77777777" w:rsidR="00180DDA" w:rsidRPr="007A395D" w:rsidRDefault="00180DDA" w:rsidP="00605E43">
      <w:pPr>
        <w:pStyle w:val="Heading1"/>
      </w:pPr>
      <w:r w:rsidRPr="007A395D">
        <w:t>References</w:t>
      </w:r>
    </w:p>
    <w:p w14:paraId="5F38A536" w14:textId="77777777" w:rsidR="00735F01" w:rsidRDefault="00735F01" w:rsidP="00735F01">
      <w:pPr>
        <w:pStyle w:val="BodyText"/>
        <w:numPr>
          <w:ilvl w:val="0"/>
          <w:numId w:val="81"/>
        </w:numPr>
        <w:rPr>
          <w:rFonts w:ascii="Calibri" w:hAnsi="Calibri"/>
        </w:rPr>
      </w:pPr>
      <w:r>
        <w:rPr>
          <w:rFonts w:ascii="Calibri" w:hAnsi="Calibri"/>
        </w:rPr>
        <w:t>IALA S-201 Aids to Navigation Information Product Specification, Ed. 2.0.0, 2025</w:t>
      </w:r>
    </w:p>
    <w:p w14:paraId="055AA381" w14:textId="77777777" w:rsidR="008A35FB" w:rsidRDefault="008A35FB" w:rsidP="00735F01">
      <w:pPr>
        <w:pStyle w:val="Reference"/>
        <w:numPr>
          <w:ilvl w:val="0"/>
          <w:numId w:val="81"/>
        </w:numPr>
        <w:rPr>
          <w:rFonts w:eastAsiaTheme="minorHAnsi" w:cstheme="minorBidi"/>
          <w:szCs w:val="22"/>
        </w:rPr>
      </w:pPr>
      <w:hyperlink r:id="rId13" w:history="1">
        <w:r>
          <w:rPr>
            <w:rStyle w:val="Hyperlink"/>
            <w:rFonts w:ascii="Calibri" w:eastAsiaTheme="majorEastAsia" w:hAnsi="Calibri"/>
          </w:rPr>
          <w:t>The Canadian Aids to Navigation System 2023</w:t>
        </w:r>
      </w:hyperlink>
    </w:p>
    <w:p w14:paraId="013F32E8" w14:textId="77777777" w:rsidR="008A35FB" w:rsidRDefault="008A35FB" w:rsidP="00735F01">
      <w:pPr>
        <w:pStyle w:val="Reference"/>
        <w:numPr>
          <w:ilvl w:val="0"/>
          <w:numId w:val="81"/>
        </w:numPr>
      </w:pPr>
      <w:hyperlink r:id="rId14" w:anchor="h-50746" w:history="1">
        <w:r>
          <w:rPr>
            <w:rStyle w:val="Hyperlink"/>
            <w:rFonts w:ascii="Calibri" w:eastAsiaTheme="majorEastAsia" w:hAnsi="Calibri"/>
            <w:i/>
            <w:iCs/>
          </w:rPr>
          <w:t>Canada Shipping Act, 2001</w:t>
        </w:r>
      </w:hyperlink>
    </w:p>
    <w:p w14:paraId="5A3E28E8" w14:textId="4A76F991" w:rsidR="008A35FB" w:rsidRDefault="008A35FB" w:rsidP="00735F01">
      <w:pPr>
        <w:pStyle w:val="Reference"/>
        <w:numPr>
          <w:ilvl w:val="0"/>
          <w:numId w:val="81"/>
        </w:numPr>
      </w:pPr>
      <w:hyperlink r:id="rId15" w:history="1">
        <w:r>
          <w:rPr>
            <w:rStyle w:val="Hyperlink"/>
            <w:rFonts w:ascii="Calibri" w:eastAsiaTheme="majorEastAsia" w:hAnsi="Calibri"/>
          </w:rPr>
          <w:t>An Owner’s Guide to Private Buoys (Transport Canada)</w:t>
        </w:r>
      </w:hyperlink>
    </w:p>
    <w:p w14:paraId="108EDEA9" w14:textId="29B034D9" w:rsidR="00DF385F" w:rsidRPr="007A395D" w:rsidRDefault="002D2BE7" w:rsidP="00735F01">
      <w:pPr>
        <w:pStyle w:val="Reference"/>
        <w:numPr>
          <w:ilvl w:val="0"/>
          <w:numId w:val="81"/>
        </w:numPr>
      </w:pPr>
      <w:hyperlink r:id="rId16" w:history="1">
        <w:r w:rsidRPr="0061524D">
          <w:rPr>
            <w:rStyle w:val="Hyperlink"/>
          </w:rPr>
          <w:t>Signage Requirements and Recommendations: Vessel Operation Restriction Regulations (Transport Canada)</w:t>
        </w:r>
      </w:hyperlink>
    </w:p>
    <w:p w14:paraId="57E2AA67" w14:textId="77777777" w:rsidR="00DD4A74" w:rsidRDefault="00DD4A74">
      <w:pPr>
        <w:spacing w:line="240" w:lineRule="auto"/>
        <w:rPr>
          <w:rFonts w:ascii="Calibri" w:eastAsiaTheme="majorEastAsia" w:hAnsi="Calibri" w:cstheme="majorBidi"/>
          <w:b/>
          <w:bCs/>
          <w:caps/>
          <w:color w:val="00558C"/>
          <w:sz w:val="28"/>
          <w:szCs w:val="24"/>
        </w:rPr>
      </w:pPr>
      <w:r>
        <w:br w:type="page"/>
      </w:r>
    </w:p>
    <w:p w14:paraId="7A8D2F27" w14:textId="1546CAE7" w:rsidR="00A446C9" w:rsidRPr="007A395D" w:rsidRDefault="00A446C9" w:rsidP="00605E43">
      <w:pPr>
        <w:pStyle w:val="Heading1"/>
      </w:pPr>
      <w:r w:rsidRPr="007A395D">
        <w:lastRenderedPageBreak/>
        <w:t>Action requested of the Committee</w:t>
      </w:r>
    </w:p>
    <w:p w14:paraId="1556E528" w14:textId="4B968949" w:rsidR="00F25BF4" w:rsidRPr="007A395D" w:rsidRDefault="00F25BF4" w:rsidP="00A446C9">
      <w:pPr>
        <w:pStyle w:val="BodyText"/>
        <w:rPr>
          <w:rFonts w:ascii="Calibri" w:hAnsi="Calibri"/>
        </w:rPr>
      </w:pPr>
      <w:r w:rsidRPr="007A395D">
        <w:rPr>
          <w:rFonts w:ascii="Calibri" w:hAnsi="Calibri"/>
        </w:rPr>
        <w:t xml:space="preserve">The Committee is requested to: </w:t>
      </w:r>
    </w:p>
    <w:p w14:paraId="41A1E375" w14:textId="3149DEC2" w:rsidR="00F25BF4" w:rsidRPr="0035243F" w:rsidRDefault="0025742D" w:rsidP="00C02DDD">
      <w:pPr>
        <w:pStyle w:val="List1"/>
        <w:numPr>
          <w:ilvl w:val="0"/>
          <w:numId w:val="73"/>
        </w:numPr>
      </w:pPr>
      <w:r>
        <w:t>Note this input paper</w:t>
      </w:r>
      <w:r w:rsidR="00F215CE">
        <w:t>;</w:t>
      </w:r>
    </w:p>
    <w:p w14:paraId="14CB97BA" w14:textId="57381BC3" w:rsidR="0025742D" w:rsidRDefault="0025742D" w:rsidP="00F25BF4">
      <w:pPr>
        <w:pStyle w:val="List1"/>
        <w:rPr>
          <w:rFonts w:ascii="Calibri" w:hAnsi="Calibri"/>
        </w:rPr>
      </w:pPr>
      <w:r>
        <w:rPr>
          <w:rFonts w:ascii="Calibri" w:hAnsi="Calibri"/>
        </w:rPr>
        <w:t>To consider</w:t>
      </w:r>
      <w:r w:rsidR="00262C4A">
        <w:rPr>
          <w:rFonts w:ascii="Calibri" w:hAnsi="Calibri"/>
        </w:rPr>
        <w:t xml:space="preserve"> adding</w:t>
      </w:r>
      <w:r>
        <w:rPr>
          <w:rFonts w:ascii="Calibri" w:hAnsi="Calibri"/>
        </w:rPr>
        <w:t xml:space="preserve"> “cautionary” to the enumerated list of “category of special purpose mark”</w:t>
      </w:r>
      <w:r w:rsidR="00F215CE">
        <w:rPr>
          <w:rFonts w:ascii="Calibri" w:hAnsi="Calibri"/>
        </w:rPr>
        <w:t>; and</w:t>
      </w:r>
    </w:p>
    <w:p w14:paraId="7A9FD49F" w14:textId="322B26FC" w:rsidR="00F25BF4" w:rsidRPr="00674570" w:rsidRDefault="0025742D" w:rsidP="00851947">
      <w:pPr>
        <w:pStyle w:val="List1"/>
        <w:rPr>
          <w:rFonts w:ascii="Calibri" w:hAnsi="Calibri"/>
        </w:rPr>
      </w:pPr>
      <w:r w:rsidRPr="00674570">
        <w:rPr>
          <w:rFonts w:ascii="Calibri" w:hAnsi="Calibri"/>
        </w:rPr>
        <w:t>To</w:t>
      </w:r>
      <w:r w:rsidR="00284BFB" w:rsidRPr="00674570">
        <w:rPr>
          <w:rFonts w:ascii="Calibri" w:hAnsi="Calibri"/>
        </w:rPr>
        <w:t xml:space="preserve"> consider </w:t>
      </w:r>
      <w:r w:rsidR="00262C4A" w:rsidRPr="00674570">
        <w:rPr>
          <w:rFonts w:ascii="Calibri" w:hAnsi="Calibri"/>
        </w:rPr>
        <w:t xml:space="preserve">the IALA S-201 AtoN Information GitHub as </w:t>
      </w:r>
      <w:r w:rsidR="00107302" w:rsidRPr="00674570">
        <w:rPr>
          <w:rFonts w:ascii="Calibri" w:hAnsi="Calibri"/>
        </w:rPr>
        <w:t xml:space="preserve">a </w:t>
      </w:r>
      <w:r w:rsidR="00674570" w:rsidRPr="00674570">
        <w:rPr>
          <w:rFonts w:ascii="Calibri" w:hAnsi="Calibri"/>
        </w:rPr>
        <w:t>way to bring up questions, incite discussion</w:t>
      </w:r>
      <w:r w:rsidR="00674570">
        <w:rPr>
          <w:rFonts w:ascii="Calibri" w:hAnsi="Calibri"/>
        </w:rPr>
        <w:t xml:space="preserve"> with other members states and interested stakeholders,</w:t>
      </w:r>
      <w:r w:rsidR="00674570" w:rsidRPr="00674570">
        <w:rPr>
          <w:rFonts w:ascii="Calibri" w:hAnsi="Calibri"/>
        </w:rPr>
        <w:t xml:space="preserve"> and lead to proposals to be incorporated into future S-201 editions. </w:t>
      </w:r>
    </w:p>
    <w:p w14:paraId="6D083061" w14:textId="77777777" w:rsidR="004D1D85" w:rsidRDefault="004D1D85" w:rsidP="00284BFB">
      <w:pPr>
        <w:pStyle w:val="Annex"/>
        <w:numPr>
          <w:ilvl w:val="0"/>
          <w:numId w:val="0"/>
        </w:numPr>
        <w:ind w:left="851" w:hanging="851"/>
      </w:pPr>
    </w:p>
    <w:sectPr w:rsidR="004D1D85" w:rsidSect="0082480E">
      <w:headerReference w:type="even" r:id="rId17"/>
      <w:headerReference w:type="default" r:id="rId18"/>
      <w:footerReference w:type="default" r:id="rId19"/>
      <w:headerReference w:type="first" r:id="rId20"/>
      <w:footerReference w:type="first" r:id="rId2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910B5" w14:textId="77777777" w:rsidR="00CE4F64" w:rsidRDefault="00CE4F64" w:rsidP="00362CD9">
      <w:r>
        <w:separator/>
      </w:r>
    </w:p>
  </w:endnote>
  <w:endnote w:type="continuationSeparator" w:id="0">
    <w:p w14:paraId="3A803A75" w14:textId="77777777" w:rsidR="00CE4F64" w:rsidRDefault="00CE4F64" w:rsidP="00362CD9">
      <w:r>
        <w:continuationSeparator/>
      </w:r>
    </w:p>
  </w:endnote>
  <w:endnote w:type="continuationNotice" w:id="1">
    <w:p w14:paraId="549FD183" w14:textId="77777777" w:rsidR="00CE4F64" w:rsidRDefault="00CE4F6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38D46B85" w:rsidR="004533B7" w:rsidRPr="00C907DF" w:rsidRDefault="00015D9F" w:rsidP="004533B7">
    <w:pPr>
      <w:pStyle w:val="Footerportrait"/>
    </w:pPr>
    <w:fldSimple w:instr="STYLEREF  Title  \* MERGEFORMAT">
      <w:r w:rsidR="005578A1">
        <w:t>Proposal to Add “Cautionary” as Part of the Enumerated List of “Category of Special Purpose Mark” in S-201</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5CA9FACF" w:rsidR="00637047" w:rsidRPr="00C907DF" w:rsidRDefault="00284BFB" w:rsidP="00637047">
    <w:pPr>
      <w:pStyle w:val="Footerportrait"/>
    </w:pPr>
    <w:fldSimple w:instr="STYLEREF  Title  \* MERGEFORMAT">
      <w:r>
        <w:t>Proposal to Add “Cautionary” as Part of the Enumerated List of “Category of Special Purpose Mark” in S-201</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CB0BF" w14:textId="77777777" w:rsidR="00CE4F64" w:rsidRDefault="00CE4F64" w:rsidP="00362CD9">
      <w:r>
        <w:separator/>
      </w:r>
    </w:p>
  </w:footnote>
  <w:footnote w:type="continuationSeparator" w:id="0">
    <w:p w14:paraId="1FE6B036" w14:textId="77777777" w:rsidR="00CE4F64" w:rsidRDefault="00CE4F64" w:rsidP="00362CD9">
      <w:r>
        <w:continuationSeparator/>
      </w:r>
    </w:p>
  </w:footnote>
  <w:footnote w:type="continuationNotice" w:id="1">
    <w:p w14:paraId="33B0BAD0" w14:textId="77777777" w:rsidR="00CE4F64" w:rsidRDefault="00CE4F6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C2E43" w14:textId="019864F3" w:rsidR="0009252E" w:rsidRDefault="000925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23F82461" w:rsidR="007C346C" w:rsidRDefault="007A395D" w:rsidP="007A395D">
    <w:pPr>
      <w:pStyle w:val="Header"/>
      <w:jc w:val="right"/>
    </w:pPr>
    <w:r>
      <w:rPr>
        <w:noProof/>
        <w:lang w:val="nl-NL" w:eastAsia="nl-NL"/>
      </w:rPr>
      <w:drawing>
        <wp:anchor distT="0" distB="0" distL="114300" distR="114300" simplePos="0" relativeHeight="251658241"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25074BEA"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A21C71"/>
    <w:multiLevelType w:val="hybridMultilevel"/>
    <w:tmpl w:val="842E3A1C"/>
    <w:lvl w:ilvl="0" w:tplc="AE7E8544">
      <w:start w:val="1"/>
      <w:numFmt w:val="decimal"/>
      <w:lvlText w:val="APPENDIX %1"/>
      <w:lvlJc w:val="left"/>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4"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5"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9C37E91"/>
    <w:multiLevelType w:val="multilevel"/>
    <w:tmpl w:val="DF88F54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79B424D"/>
    <w:multiLevelType w:val="hybridMultilevel"/>
    <w:tmpl w:val="FA4A8BFE"/>
    <w:lvl w:ilvl="0" w:tplc="1C6A721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4" w15:restartNumberingAfterBreak="0">
    <w:nsid w:val="4A8C31DD"/>
    <w:multiLevelType w:val="hybridMultilevel"/>
    <w:tmpl w:val="46EC3D80"/>
    <w:lvl w:ilvl="0" w:tplc="D0D2BED8">
      <w:start w:val="1"/>
      <w:numFmt w:val="bullet"/>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5" w15:restartNumberingAfterBreak="0">
    <w:nsid w:val="4B8608FD"/>
    <w:multiLevelType w:val="singleLevel"/>
    <w:tmpl w:val="7EAB7C5C"/>
    <w:lvl w:ilvl="0">
      <w:start w:val="1"/>
      <w:numFmt w:val="decimal"/>
      <w:lvlText w:val="[%1]"/>
      <w:lvlJc w:val="left"/>
      <w:pPr>
        <w:tabs>
          <w:tab w:val="left" w:pos="312"/>
        </w:tabs>
        <w:ind w:left="0" w:firstLine="0"/>
      </w:pPr>
    </w:lvl>
  </w:abstractNum>
  <w:abstractNum w:abstractNumId="36" w15:restartNumberingAfterBreak="0">
    <w:nsid w:val="4BC63137"/>
    <w:multiLevelType w:val="hybridMultilevel"/>
    <w:tmpl w:val="C34E4054"/>
    <w:lvl w:ilvl="0" w:tplc="537E9A62">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1"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0585238"/>
    <w:multiLevelType w:val="multilevel"/>
    <w:tmpl w:val="34CCF486"/>
    <w:lvl w:ilvl="0">
      <w:start w:val="1"/>
      <w:numFmt w:val="upperLetter"/>
      <w:lvlText w:val="ANNEX %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4"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47"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B65365"/>
    <w:multiLevelType w:val="multilevel"/>
    <w:tmpl w:val="1898C208"/>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50"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EAB7C5C"/>
    <w:multiLevelType w:val="singleLevel"/>
    <w:tmpl w:val="7EAB7C5C"/>
    <w:lvl w:ilvl="0">
      <w:start w:val="1"/>
      <w:numFmt w:val="decimal"/>
      <w:lvlText w:val="[%1]"/>
      <w:lvlJc w:val="left"/>
      <w:pPr>
        <w:tabs>
          <w:tab w:val="left" w:pos="312"/>
        </w:tabs>
        <w:ind w:left="0" w:firstLine="0"/>
      </w:pPr>
    </w:lvl>
  </w:abstractNum>
  <w:num w:numId="1" w16cid:durableId="1651906577">
    <w:abstractNumId w:val="7"/>
  </w:num>
  <w:num w:numId="2" w16cid:durableId="320894213">
    <w:abstractNumId w:val="2"/>
  </w:num>
  <w:num w:numId="3" w16cid:durableId="175652695">
    <w:abstractNumId w:val="18"/>
  </w:num>
  <w:num w:numId="4" w16cid:durableId="128744143">
    <w:abstractNumId w:val="42"/>
  </w:num>
  <w:num w:numId="5" w16cid:durableId="608465186">
    <w:abstractNumId w:val="31"/>
  </w:num>
  <w:num w:numId="6" w16cid:durableId="464274310">
    <w:abstractNumId w:val="11"/>
  </w:num>
  <w:num w:numId="7" w16cid:durableId="1189950591">
    <w:abstractNumId w:val="45"/>
  </w:num>
  <w:num w:numId="8" w16cid:durableId="1782140707">
    <w:abstractNumId w:val="26"/>
  </w:num>
  <w:num w:numId="9" w16cid:durableId="535049773">
    <w:abstractNumId w:val="20"/>
  </w:num>
  <w:num w:numId="10" w16cid:durableId="1991129612">
    <w:abstractNumId w:val="36"/>
  </w:num>
  <w:num w:numId="11" w16cid:durableId="172032115">
    <w:abstractNumId w:val="34"/>
  </w:num>
  <w:num w:numId="12" w16cid:durableId="283928608">
    <w:abstractNumId w:val="30"/>
  </w:num>
  <w:num w:numId="13" w16cid:durableId="1136068344">
    <w:abstractNumId w:val="43"/>
  </w:num>
  <w:num w:numId="14" w16cid:durableId="836044485">
    <w:abstractNumId w:val="16"/>
  </w:num>
  <w:num w:numId="15" w16cid:durableId="1973170037">
    <w:abstractNumId w:val="49"/>
  </w:num>
  <w:num w:numId="16" w16cid:durableId="583344743">
    <w:abstractNumId w:val="29"/>
  </w:num>
  <w:num w:numId="17" w16cid:durableId="1826819720">
    <w:abstractNumId w:val="17"/>
  </w:num>
  <w:num w:numId="18" w16cid:durableId="1288589041">
    <w:abstractNumId w:val="39"/>
  </w:num>
  <w:num w:numId="19" w16cid:durableId="1298729279">
    <w:abstractNumId w:val="29"/>
  </w:num>
  <w:num w:numId="20" w16cid:durableId="222765610">
    <w:abstractNumId w:val="29"/>
  </w:num>
  <w:num w:numId="21" w16cid:durableId="2043892978">
    <w:abstractNumId w:val="29"/>
  </w:num>
  <w:num w:numId="22" w16cid:durableId="22442958">
    <w:abstractNumId w:val="29"/>
  </w:num>
  <w:num w:numId="23" w16cid:durableId="326136287">
    <w:abstractNumId w:val="40"/>
  </w:num>
  <w:num w:numId="24" w16cid:durableId="879126904">
    <w:abstractNumId w:val="10"/>
  </w:num>
  <w:num w:numId="25" w16cid:durableId="198784432">
    <w:abstractNumId w:val="10"/>
  </w:num>
  <w:num w:numId="26" w16cid:durableId="1793086082">
    <w:abstractNumId w:val="10"/>
  </w:num>
  <w:num w:numId="27" w16cid:durableId="242422396">
    <w:abstractNumId w:val="22"/>
  </w:num>
  <w:num w:numId="28" w16cid:durableId="303579958">
    <w:abstractNumId w:val="22"/>
  </w:num>
  <w:num w:numId="29" w16cid:durableId="1803647004">
    <w:abstractNumId w:val="22"/>
  </w:num>
  <w:num w:numId="30" w16cid:durableId="225920840">
    <w:abstractNumId w:val="22"/>
  </w:num>
  <w:num w:numId="31" w16cid:durableId="675494771">
    <w:abstractNumId w:val="22"/>
  </w:num>
  <w:num w:numId="32" w16cid:durableId="1786805603">
    <w:abstractNumId w:val="22"/>
  </w:num>
  <w:num w:numId="33" w16cid:durableId="1796288016">
    <w:abstractNumId w:val="37"/>
  </w:num>
  <w:num w:numId="34" w16cid:durableId="1923106185">
    <w:abstractNumId w:val="37"/>
  </w:num>
  <w:num w:numId="35" w16cid:durableId="1980181163">
    <w:abstractNumId w:val="37"/>
  </w:num>
  <w:num w:numId="36" w16cid:durableId="589242074">
    <w:abstractNumId w:val="27"/>
  </w:num>
  <w:num w:numId="37" w16cid:durableId="611405404">
    <w:abstractNumId w:val="16"/>
  </w:num>
  <w:num w:numId="38" w16cid:durableId="1417749718">
    <w:abstractNumId w:val="30"/>
  </w:num>
  <w:num w:numId="39" w16cid:durableId="1116218742">
    <w:abstractNumId w:val="29"/>
  </w:num>
  <w:num w:numId="40" w16cid:durableId="15286398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2766088">
    <w:abstractNumId w:val="9"/>
  </w:num>
  <w:num w:numId="42" w16cid:durableId="17337751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48305089">
    <w:abstractNumId w:val="9"/>
  </w:num>
  <w:num w:numId="44" w16cid:durableId="694580087">
    <w:abstractNumId w:val="28"/>
  </w:num>
  <w:num w:numId="45" w16cid:durableId="557088546">
    <w:abstractNumId w:val="32"/>
  </w:num>
  <w:num w:numId="46" w16cid:durableId="2058578189">
    <w:abstractNumId w:val="50"/>
  </w:num>
  <w:num w:numId="47" w16cid:durableId="1025714407">
    <w:abstractNumId w:val="13"/>
  </w:num>
  <w:num w:numId="48" w16cid:durableId="1516263518">
    <w:abstractNumId w:val="21"/>
  </w:num>
  <w:num w:numId="49" w16cid:durableId="1874733741">
    <w:abstractNumId w:val="14"/>
  </w:num>
  <w:num w:numId="50" w16cid:durableId="754859345">
    <w:abstractNumId w:val="12"/>
  </w:num>
  <w:num w:numId="51" w16cid:durableId="1256400017">
    <w:abstractNumId w:val="19"/>
  </w:num>
  <w:num w:numId="52" w16cid:durableId="128868047">
    <w:abstractNumId w:val="44"/>
  </w:num>
  <w:num w:numId="53" w16cid:durableId="1952282389">
    <w:abstractNumId w:val="47"/>
  </w:num>
  <w:num w:numId="54" w16cid:durableId="325910954">
    <w:abstractNumId w:val="15"/>
  </w:num>
  <w:num w:numId="55" w16cid:durableId="1093041952">
    <w:abstractNumId w:val="48"/>
  </w:num>
  <w:num w:numId="56" w16cid:durableId="1702247746">
    <w:abstractNumId w:val="41"/>
  </w:num>
  <w:num w:numId="57" w16cid:durableId="1151944309">
    <w:abstractNumId w:val="25"/>
  </w:num>
  <w:num w:numId="58" w16cid:durableId="1138380896">
    <w:abstractNumId w:val="8"/>
  </w:num>
  <w:num w:numId="59" w16cid:durableId="1647006354">
    <w:abstractNumId w:val="6"/>
  </w:num>
  <w:num w:numId="60" w16cid:durableId="1277442272">
    <w:abstractNumId w:val="5"/>
  </w:num>
  <w:num w:numId="61" w16cid:durableId="296763527">
    <w:abstractNumId w:val="4"/>
  </w:num>
  <w:num w:numId="62" w16cid:durableId="134957595">
    <w:abstractNumId w:val="3"/>
  </w:num>
  <w:num w:numId="63" w16cid:durableId="978800751">
    <w:abstractNumId w:val="1"/>
  </w:num>
  <w:num w:numId="64" w16cid:durableId="1399134620">
    <w:abstractNumId w:val="0"/>
  </w:num>
  <w:num w:numId="65" w16cid:durableId="1114835502">
    <w:abstractNumId w:val="38"/>
  </w:num>
  <w:num w:numId="66" w16cid:durableId="885992133">
    <w:abstractNumId w:val="46"/>
  </w:num>
  <w:num w:numId="67" w16cid:durableId="1411384646">
    <w:abstractNumId w:val="24"/>
  </w:num>
  <w:num w:numId="68" w16cid:durableId="15496870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91036589">
    <w:abstractNumId w:val="23"/>
  </w:num>
  <w:num w:numId="70" w16cid:durableId="18919132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40352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4157416">
    <w:abstractNumId w:val="33"/>
  </w:num>
  <w:num w:numId="73" w16cid:durableId="197923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62366834">
    <w:abstractNumId w:val="32"/>
  </w:num>
  <w:num w:numId="75" w16cid:durableId="733164572">
    <w:abstractNumId w:val="32"/>
  </w:num>
  <w:num w:numId="76" w16cid:durableId="10179283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07317324">
    <w:abstractNumId w:val="32"/>
  </w:num>
  <w:num w:numId="78" w16cid:durableId="788082617">
    <w:abstractNumId w:val="32"/>
  </w:num>
  <w:num w:numId="79" w16cid:durableId="532689089">
    <w:abstractNumId w:val="32"/>
  </w:num>
  <w:num w:numId="80" w16cid:durableId="1142893052">
    <w:abstractNumId w:val="51"/>
    <w:lvlOverride w:ilvl="0">
      <w:startOverride w:val="1"/>
    </w:lvlOverride>
  </w:num>
  <w:num w:numId="81" w16cid:durableId="1913349206">
    <w:abstractNumId w:val="35"/>
  </w:num>
  <w:num w:numId="82" w16cid:durableId="8999411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15D9F"/>
    <w:rsid w:val="000222CB"/>
    <w:rsid w:val="00036B9E"/>
    <w:rsid w:val="00037DF4"/>
    <w:rsid w:val="000423B5"/>
    <w:rsid w:val="0004700E"/>
    <w:rsid w:val="00057FCA"/>
    <w:rsid w:val="00070C13"/>
    <w:rsid w:val="000715C9"/>
    <w:rsid w:val="000726FF"/>
    <w:rsid w:val="00074214"/>
    <w:rsid w:val="00084F33"/>
    <w:rsid w:val="0009252E"/>
    <w:rsid w:val="00095204"/>
    <w:rsid w:val="00095CCE"/>
    <w:rsid w:val="000A77A7"/>
    <w:rsid w:val="000B1707"/>
    <w:rsid w:val="000B5BB7"/>
    <w:rsid w:val="000C1B3E"/>
    <w:rsid w:val="000C349E"/>
    <w:rsid w:val="000D5E9D"/>
    <w:rsid w:val="00105083"/>
    <w:rsid w:val="00106611"/>
    <w:rsid w:val="00107302"/>
    <w:rsid w:val="00110203"/>
    <w:rsid w:val="00110AE7"/>
    <w:rsid w:val="00122500"/>
    <w:rsid w:val="001241C8"/>
    <w:rsid w:val="00143DEA"/>
    <w:rsid w:val="00177F4D"/>
    <w:rsid w:val="00180DDA"/>
    <w:rsid w:val="00187AA5"/>
    <w:rsid w:val="001B2A2D"/>
    <w:rsid w:val="001B3F34"/>
    <w:rsid w:val="001B4004"/>
    <w:rsid w:val="001B737D"/>
    <w:rsid w:val="001B76E9"/>
    <w:rsid w:val="001C44A3"/>
    <w:rsid w:val="001C77BB"/>
    <w:rsid w:val="001D07CE"/>
    <w:rsid w:val="001E0E15"/>
    <w:rsid w:val="001E1816"/>
    <w:rsid w:val="001F528A"/>
    <w:rsid w:val="001F704E"/>
    <w:rsid w:val="00201722"/>
    <w:rsid w:val="00204586"/>
    <w:rsid w:val="002125B0"/>
    <w:rsid w:val="002150B7"/>
    <w:rsid w:val="00221E08"/>
    <w:rsid w:val="00237D7C"/>
    <w:rsid w:val="00243228"/>
    <w:rsid w:val="00251483"/>
    <w:rsid w:val="0025431E"/>
    <w:rsid w:val="00255CAA"/>
    <w:rsid w:val="0025741F"/>
    <w:rsid w:val="0025742D"/>
    <w:rsid w:val="00262C4A"/>
    <w:rsid w:val="00264305"/>
    <w:rsid w:val="00271008"/>
    <w:rsid w:val="00284BFB"/>
    <w:rsid w:val="00286FEF"/>
    <w:rsid w:val="002A0346"/>
    <w:rsid w:val="002A0929"/>
    <w:rsid w:val="002A4487"/>
    <w:rsid w:val="002B49E9"/>
    <w:rsid w:val="002B59AF"/>
    <w:rsid w:val="002C1565"/>
    <w:rsid w:val="002C632E"/>
    <w:rsid w:val="002D2BE7"/>
    <w:rsid w:val="002D3E8B"/>
    <w:rsid w:val="002D4575"/>
    <w:rsid w:val="002D5C0C"/>
    <w:rsid w:val="002E03D1"/>
    <w:rsid w:val="002E6B74"/>
    <w:rsid w:val="002E6FCA"/>
    <w:rsid w:val="003351C4"/>
    <w:rsid w:val="0035243F"/>
    <w:rsid w:val="00356CD0"/>
    <w:rsid w:val="00362CD9"/>
    <w:rsid w:val="003761CA"/>
    <w:rsid w:val="0038049E"/>
    <w:rsid w:val="00380DAF"/>
    <w:rsid w:val="00382CAD"/>
    <w:rsid w:val="003972CE"/>
    <w:rsid w:val="003B0291"/>
    <w:rsid w:val="003B2635"/>
    <w:rsid w:val="003B28F5"/>
    <w:rsid w:val="003B7B7D"/>
    <w:rsid w:val="003C54CB"/>
    <w:rsid w:val="003C7A2A"/>
    <w:rsid w:val="003D25A2"/>
    <w:rsid w:val="003D2DC1"/>
    <w:rsid w:val="003D69D0"/>
    <w:rsid w:val="003F2918"/>
    <w:rsid w:val="003F430E"/>
    <w:rsid w:val="0041088C"/>
    <w:rsid w:val="0041208B"/>
    <w:rsid w:val="0041230E"/>
    <w:rsid w:val="00420A38"/>
    <w:rsid w:val="00421661"/>
    <w:rsid w:val="00426DB3"/>
    <w:rsid w:val="00431B19"/>
    <w:rsid w:val="00432E0C"/>
    <w:rsid w:val="00440AA6"/>
    <w:rsid w:val="004525E4"/>
    <w:rsid w:val="004533B7"/>
    <w:rsid w:val="00463219"/>
    <w:rsid w:val="004661AD"/>
    <w:rsid w:val="004A1865"/>
    <w:rsid w:val="004D1D85"/>
    <w:rsid w:val="004D3C3A"/>
    <w:rsid w:val="004D4EF6"/>
    <w:rsid w:val="004E1CD1"/>
    <w:rsid w:val="004F7616"/>
    <w:rsid w:val="004F7976"/>
    <w:rsid w:val="00503898"/>
    <w:rsid w:val="0050690E"/>
    <w:rsid w:val="005107EB"/>
    <w:rsid w:val="0051402F"/>
    <w:rsid w:val="00521345"/>
    <w:rsid w:val="00525943"/>
    <w:rsid w:val="00526DF0"/>
    <w:rsid w:val="00545CC4"/>
    <w:rsid w:val="00551FFF"/>
    <w:rsid w:val="005556C2"/>
    <w:rsid w:val="005578A1"/>
    <w:rsid w:val="005607A2"/>
    <w:rsid w:val="00570088"/>
    <w:rsid w:val="0057198B"/>
    <w:rsid w:val="00573CFE"/>
    <w:rsid w:val="005905B1"/>
    <w:rsid w:val="005969F2"/>
    <w:rsid w:val="00597FAE"/>
    <w:rsid w:val="005B32A3"/>
    <w:rsid w:val="005C0D44"/>
    <w:rsid w:val="005C11FD"/>
    <w:rsid w:val="005C566C"/>
    <w:rsid w:val="005C7E69"/>
    <w:rsid w:val="005E262D"/>
    <w:rsid w:val="005F23D3"/>
    <w:rsid w:val="005F47C5"/>
    <w:rsid w:val="005F7E20"/>
    <w:rsid w:val="00605E43"/>
    <w:rsid w:val="0061524D"/>
    <w:rsid w:val="006153BB"/>
    <w:rsid w:val="0061603D"/>
    <w:rsid w:val="00635ADD"/>
    <w:rsid w:val="00637047"/>
    <w:rsid w:val="00664B46"/>
    <w:rsid w:val="006652C3"/>
    <w:rsid w:val="00674570"/>
    <w:rsid w:val="00691FD0"/>
    <w:rsid w:val="00692148"/>
    <w:rsid w:val="006A1A1E"/>
    <w:rsid w:val="006C5948"/>
    <w:rsid w:val="006D42AD"/>
    <w:rsid w:val="006E2121"/>
    <w:rsid w:val="006F2A74"/>
    <w:rsid w:val="007036FF"/>
    <w:rsid w:val="00706336"/>
    <w:rsid w:val="007118F5"/>
    <w:rsid w:val="00712AA4"/>
    <w:rsid w:val="007146C4"/>
    <w:rsid w:val="00721AA1"/>
    <w:rsid w:val="00724B67"/>
    <w:rsid w:val="00735F01"/>
    <w:rsid w:val="007547F8"/>
    <w:rsid w:val="00765622"/>
    <w:rsid w:val="00770B6C"/>
    <w:rsid w:val="007715E4"/>
    <w:rsid w:val="00774730"/>
    <w:rsid w:val="00783FEA"/>
    <w:rsid w:val="007926DC"/>
    <w:rsid w:val="007A0357"/>
    <w:rsid w:val="007A395D"/>
    <w:rsid w:val="007C26D6"/>
    <w:rsid w:val="007C346C"/>
    <w:rsid w:val="007D26C6"/>
    <w:rsid w:val="007D63E3"/>
    <w:rsid w:val="0080294B"/>
    <w:rsid w:val="00811F06"/>
    <w:rsid w:val="008166EE"/>
    <w:rsid w:val="0082480E"/>
    <w:rsid w:val="008258EE"/>
    <w:rsid w:val="00833E2F"/>
    <w:rsid w:val="008342F9"/>
    <w:rsid w:val="00850293"/>
    <w:rsid w:val="00851373"/>
    <w:rsid w:val="00851BA6"/>
    <w:rsid w:val="0085654D"/>
    <w:rsid w:val="00857E12"/>
    <w:rsid w:val="00861160"/>
    <w:rsid w:val="00861801"/>
    <w:rsid w:val="0086654F"/>
    <w:rsid w:val="008702A8"/>
    <w:rsid w:val="0087239B"/>
    <w:rsid w:val="00873EC5"/>
    <w:rsid w:val="00876F33"/>
    <w:rsid w:val="00892CA4"/>
    <w:rsid w:val="008A262E"/>
    <w:rsid w:val="008A356F"/>
    <w:rsid w:val="008A35FB"/>
    <w:rsid w:val="008A3ECA"/>
    <w:rsid w:val="008A4653"/>
    <w:rsid w:val="008A4717"/>
    <w:rsid w:val="008A50CC"/>
    <w:rsid w:val="008C4814"/>
    <w:rsid w:val="008D1694"/>
    <w:rsid w:val="008D79CB"/>
    <w:rsid w:val="008E28CC"/>
    <w:rsid w:val="008E75CA"/>
    <w:rsid w:val="008F07BC"/>
    <w:rsid w:val="00904066"/>
    <w:rsid w:val="0092692B"/>
    <w:rsid w:val="00941AAE"/>
    <w:rsid w:val="00943E9C"/>
    <w:rsid w:val="00953F4D"/>
    <w:rsid w:val="00960BB8"/>
    <w:rsid w:val="009637F4"/>
    <w:rsid w:val="00964F5C"/>
    <w:rsid w:val="00966999"/>
    <w:rsid w:val="00971E6D"/>
    <w:rsid w:val="00973B57"/>
    <w:rsid w:val="009831C0"/>
    <w:rsid w:val="009874F9"/>
    <w:rsid w:val="0099161D"/>
    <w:rsid w:val="0099200C"/>
    <w:rsid w:val="009C5F41"/>
    <w:rsid w:val="009F6D40"/>
    <w:rsid w:val="009F7F9C"/>
    <w:rsid w:val="00A01B17"/>
    <w:rsid w:val="00A0389B"/>
    <w:rsid w:val="00A26017"/>
    <w:rsid w:val="00A351FA"/>
    <w:rsid w:val="00A446C9"/>
    <w:rsid w:val="00A56C33"/>
    <w:rsid w:val="00A61449"/>
    <w:rsid w:val="00A635D6"/>
    <w:rsid w:val="00A70194"/>
    <w:rsid w:val="00A72757"/>
    <w:rsid w:val="00A77F54"/>
    <w:rsid w:val="00A800A9"/>
    <w:rsid w:val="00A83C40"/>
    <w:rsid w:val="00A8553A"/>
    <w:rsid w:val="00A93AED"/>
    <w:rsid w:val="00A97D87"/>
    <w:rsid w:val="00AE1319"/>
    <w:rsid w:val="00AE34BB"/>
    <w:rsid w:val="00B0084A"/>
    <w:rsid w:val="00B0520E"/>
    <w:rsid w:val="00B21AE5"/>
    <w:rsid w:val="00B226F2"/>
    <w:rsid w:val="00B270F3"/>
    <w:rsid w:val="00B274DF"/>
    <w:rsid w:val="00B35050"/>
    <w:rsid w:val="00B351F6"/>
    <w:rsid w:val="00B56BDF"/>
    <w:rsid w:val="00B65812"/>
    <w:rsid w:val="00B661C7"/>
    <w:rsid w:val="00B80530"/>
    <w:rsid w:val="00B82CCA"/>
    <w:rsid w:val="00B85CD6"/>
    <w:rsid w:val="00B90A27"/>
    <w:rsid w:val="00B93C77"/>
    <w:rsid w:val="00B9554D"/>
    <w:rsid w:val="00BA4DA9"/>
    <w:rsid w:val="00BB2B9F"/>
    <w:rsid w:val="00BB7D9E"/>
    <w:rsid w:val="00BC2334"/>
    <w:rsid w:val="00BD3CB8"/>
    <w:rsid w:val="00BD4E6F"/>
    <w:rsid w:val="00BE05C9"/>
    <w:rsid w:val="00BE700D"/>
    <w:rsid w:val="00BF32F0"/>
    <w:rsid w:val="00BF4DCE"/>
    <w:rsid w:val="00C02615"/>
    <w:rsid w:val="00C02DDD"/>
    <w:rsid w:val="00C04C0C"/>
    <w:rsid w:val="00C05CE5"/>
    <w:rsid w:val="00C11C91"/>
    <w:rsid w:val="00C52A4D"/>
    <w:rsid w:val="00C6171E"/>
    <w:rsid w:val="00C6580E"/>
    <w:rsid w:val="00C65DAA"/>
    <w:rsid w:val="00C815E1"/>
    <w:rsid w:val="00C865DF"/>
    <w:rsid w:val="00CA24A3"/>
    <w:rsid w:val="00CA6F2C"/>
    <w:rsid w:val="00CC79CE"/>
    <w:rsid w:val="00CE3758"/>
    <w:rsid w:val="00CE4F64"/>
    <w:rsid w:val="00CF1871"/>
    <w:rsid w:val="00D019CE"/>
    <w:rsid w:val="00D1133E"/>
    <w:rsid w:val="00D13264"/>
    <w:rsid w:val="00D17A34"/>
    <w:rsid w:val="00D26628"/>
    <w:rsid w:val="00D332B3"/>
    <w:rsid w:val="00D423E5"/>
    <w:rsid w:val="00D55207"/>
    <w:rsid w:val="00D60825"/>
    <w:rsid w:val="00D615CD"/>
    <w:rsid w:val="00D76DA0"/>
    <w:rsid w:val="00D801D3"/>
    <w:rsid w:val="00D81801"/>
    <w:rsid w:val="00D91BD9"/>
    <w:rsid w:val="00D92B45"/>
    <w:rsid w:val="00D95962"/>
    <w:rsid w:val="00DC389B"/>
    <w:rsid w:val="00DD4A74"/>
    <w:rsid w:val="00DE0663"/>
    <w:rsid w:val="00DE2FEE"/>
    <w:rsid w:val="00DF385F"/>
    <w:rsid w:val="00DF6F21"/>
    <w:rsid w:val="00E00BE9"/>
    <w:rsid w:val="00E04761"/>
    <w:rsid w:val="00E22A11"/>
    <w:rsid w:val="00E24698"/>
    <w:rsid w:val="00E31E5C"/>
    <w:rsid w:val="00E37ADB"/>
    <w:rsid w:val="00E44DD2"/>
    <w:rsid w:val="00E558C3"/>
    <w:rsid w:val="00E55927"/>
    <w:rsid w:val="00E668E4"/>
    <w:rsid w:val="00E70486"/>
    <w:rsid w:val="00E7182C"/>
    <w:rsid w:val="00E912A6"/>
    <w:rsid w:val="00E9164F"/>
    <w:rsid w:val="00EA4844"/>
    <w:rsid w:val="00EA4D9C"/>
    <w:rsid w:val="00EA5A97"/>
    <w:rsid w:val="00EB2FB6"/>
    <w:rsid w:val="00EB75EE"/>
    <w:rsid w:val="00EE4C1D"/>
    <w:rsid w:val="00EF110C"/>
    <w:rsid w:val="00EF3685"/>
    <w:rsid w:val="00EF672C"/>
    <w:rsid w:val="00EF7522"/>
    <w:rsid w:val="00F04350"/>
    <w:rsid w:val="00F0779C"/>
    <w:rsid w:val="00F133DB"/>
    <w:rsid w:val="00F159EB"/>
    <w:rsid w:val="00F215CE"/>
    <w:rsid w:val="00F25BF4"/>
    <w:rsid w:val="00F267DB"/>
    <w:rsid w:val="00F30497"/>
    <w:rsid w:val="00F46F6F"/>
    <w:rsid w:val="00F56969"/>
    <w:rsid w:val="00F57C92"/>
    <w:rsid w:val="00F60608"/>
    <w:rsid w:val="00F62217"/>
    <w:rsid w:val="00F66B7F"/>
    <w:rsid w:val="00F71ACC"/>
    <w:rsid w:val="00F75FA5"/>
    <w:rsid w:val="00F777D5"/>
    <w:rsid w:val="00FA644A"/>
    <w:rsid w:val="00FB17A9"/>
    <w:rsid w:val="00FB527C"/>
    <w:rsid w:val="00FB6F75"/>
    <w:rsid w:val="00FC0EB3"/>
    <w:rsid w:val="00FC3B66"/>
    <w:rsid w:val="00FD010B"/>
    <w:rsid w:val="00FD675E"/>
    <w:rsid w:val="00FD7209"/>
    <w:rsid w:val="00FE5674"/>
    <w:rsid w:val="11E254D8"/>
    <w:rsid w:val="160C7849"/>
    <w:rsid w:val="19432EFF"/>
    <w:rsid w:val="24384A6F"/>
    <w:rsid w:val="25F98794"/>
    <w:rsid w:val="41AE0A93"/>
    <w:rsid w:val="41D00DEA"/>
    <w:rsid w:val="48CED479"/>
    <w:rsid w:val="4C837666"/>
    <w:rsid w:val="4F4F9977"/>
    <w:rsid w:val="50B17CC1"/>
    <w:rsid w:val="55541DB6"/>
    <w:rsid w:val="5EA17BDC"/>
    <w:rsid w:val="6254E1B2"/>
    <w:rsid w:val="65C3B6E6"/>
    <w:rsid w:val="69B1DC8A"/>
    <w:rsid w:val="6CA53685"/>
    <w:rsid w:val="6D1E8754"/>
    <w:rsid w:val="753CD76D"/>
    <w:rsid w:val="7E94B3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52"/>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rsid w:val="0025741F"/>
    <w:pPr>
      <w:numPr>
        <w:numId w:val="47"/>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qForma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45"/>
      </w:numPr>
      <w:spacing w:after="120"/>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46"/>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53"/>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13"/>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rsid w:val="0025741F"/>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39"/>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3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18"/>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39"/>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54"/>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5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47"/>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50"/>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49"/>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66"/>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66"/>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48"/>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69"/>
      </w:numPr>
      <w:jc w:val="center"/>
    </w:pPr>
    <w:rPr>
      <w:i/>
      <w:color w:val="00558C"/>
      <w:lang w:eastAsia="en-GB"/>
    </w:rPr>
  </w:style>
  <w:style w:type="paragraph" w:customStyle="1" w:styleId="Figurecaption">
    <w:name w:val="Figure caption"/>
    <w:basedOn w:val="Caption"/>
    <w:next w:val="BodyText"/>
    <w:qFormat/>
    <w:rsid w:val="0025741F"/>
    <w:pPr>
      <w:numPr>
        <w:numId w:val="51"/>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17"/>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56"/>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57"/>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67"/>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5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5038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136488">
      <w:bodyDiv w:val="1"/>
      <w:marLeft w:val="0"/>
      <w:marRight w:val="0"/>
      <w:marTop w:val="0"/>
      <w:marBottom w:val="0"/>
      <w:divBdr>
        <w:top w:val="none" w:sz="0" w:space="0" w:color="auto"/>
        <w:left w:val="none" w:sz="0" w:space="0" w:color="auto"/>
        <w:bottom w:val="none" w:sz="0" w:space="0" w:color="auto"/>
        <w:right w:val="none" w:sz="0" w:space="0" w:color="auto"/>
      </w:divBdr>
    </w:div>
    <w:div w:id="917057532">
      <w:bodyDiv w:val="1"/>
      <w:marLeft w:val="0"/>
      <w:marRight w:val="0"/>
      <w:marTop w:val="0"/>
      <w:marBottom w:val="0"/>
      <w:divBdr>
        <w:top w:val="none" w:sz="0" w:space="0" w:color="auto"/>
        <w:left w:val="none" w:sz="0" w:space="0" w:color="auto"/>
        <w:bottom w:val="none" w:sz="0" w:space="0" w:color="auto"/>
        <w:right w:val="none" w:sz="0" w:space="0" w:color="auto"/>
      </w:divBdr>
    </w:div>
    <w:div w:id="1119180221">
      <w:bodyDiv w:val="1"/>
      <w:marLeft w:val="0"/>
      <w:marRight w:val="0"/>
      <w:marTop w:val="0"/>
      <w:marBottom w:val="0"/>
      <w:divBdr>
        <w:top w:val="none" w:sz="0" w:space="0" w:color="auto"/>
        <w:left w:val="none" w:sz="0" w:space="0" w:color="auto"/>
        <w:bottom w:val="none" w:sz="0" w:space="0" w:color="auto"/>
        <w:right w:val="none" w:sz="0" w:space="0" w:color="auto"/>
      </w:divBdr>
    </w:div>
    <w:div w:id="1510175046">
      <w:bodyDiv w:val="1"/>
      <w:marLeft w:val="0"/>
      <w:marRight w:val="0"/>
      <w:marTop w:val="0"/>
      <w:marBottom w:val="0"/>
      <w:divBdr>
        <w:top w:val="none" w:sz="0" w:space="0" w:color="auto"/>
        <w:left w:val="none" w:sz="0" w:space="0" w:color="auto"/>
        <w:bottom w:val="none" w:sz="0" w:space="0" w:color="auto"/>
        <w:right w:val="none" w:sz="0" w:space="0" w:color="auto"/>
      </w:divBdr>
    </w:div>
    <w:div w:id="1717510759">
      <w:bodyDiv w:val="1"/>
      <w:marLeft w:val="0"/>
      <w:marRight w:val="0"/>
      <w:marTop w:val="0"/>
      <w:marBottom w:val="0"/>
      <w:divBdr>
        <w:top w:val="none" w:sz="0" w:space="0" w:color="auto"/>
        <w:left w:val="none" w:sz="0" w:space="0" w:color="auto"/>
        <w:bottom w:val="none" w:sz="0" w:space="0" w:color="auto"/>
        <w:right w:val="none" w:sz="0" w:space="0" w:color="auto"/>
      </w:divBdr>
    </w:div>
    <w:div w:id="1928072694">
      <w:bodyDiv w:val="1"/>
      <w:marLeft w:val="0"/>
      <w:marRight w:val="0"/>
      <w:marTop w:val="0"/>
      <w:marBottom w:val="0"/>
      <w:divBdr>
        <w:top w:val="none" w:sz="0" w:space="0" w:color="auto"/>
        <w:left w:val="none" w:sz="0" w:space="0" w:color="auto"/>
        <w:bottom w:val="none" w:sz="0" w:space="0" w:color="auto"/>
        <w:right w:val="none" w:sz="0" w:space="0" w:color="auto"/>
      </w:divBdr>
    </w:div>
    <w:div w:id="1937667331">
      <w:bodyDiv w:val="1"/>
      <w:marLeft w:val="0"/>
      <w:marRight w:val="0"/>
      <w:marTop w:val="0"/>
      <w:marBottom w:val="0"/>
      <w:divBdr>
        <w:top w:val="none" w:sz="0" w:space="0" w:color="auto"/>
        <w:left w:val="none" w:sz="0" w:space="0" w:color="auto"/>
        <w:bottom w:val="none" w:sz="0" w:space="0" w:color="auto"/>
        <w:right w:val="none" w:sz="0" w:space="0" w:color="auto"/>
      </w:divBdr>
    </w:div>
    <w:div w:id="1987969107">
      <w:bodyDiv w:val="1"/>
      <w:marLeft w:val="0"/>
      <w:marRight w:val="0"/>
      <w:marTop w:val="0"/>
      <w:marBottom w:val="0"/>
      <w:divBdr>
        <w:top w:val="none" w:sz="0" w:space="0" w:color="auto"/>
        <w:left w:val="none" w:sz="0" w:space="0" w:color="auto"/>
        <w:bottom w:val="none" w:sz="0" w:space="0" w:color="auto"/>
        <w:right w:val="none" w:sz="0" w:space="0" w:color="auto"/>
      </w:divBdr>
    </w:div>
    <w:div w:id="198897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anada.ca/en/canadian-coast-guard/corporate/publications/canadian-aids-navigation-system-2023.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c.canada.ca/sites/default/files/2023-12/2023-MARINE-SIGNAGE%20GUIDE%20SYMBOLS_EN.pdf"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IALA-IGO/S-201_AtoN-Information" TargetMode="External"/><Relationship Id="rId5" Type="http://schemas.openxmlformats.org/officeDocument/2006/relationships/numbering" Target="numbering.xml"/><Relationship Id="rId15" Type="http://schemas.openxmlformats.org/officeDocument/2006/relationships/hyperlink" Target="https://tc.canada.ca/sites/default/files/2025-12/owners%20guide%20to%20private%20buoys%20-%20EN.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aws-lois.justice.gc.ca/eng/acts/C-10.15/page-1.htm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3.xml><?xml version="1.0" encoding="utf-8"?>
<ds:datastoreItem xmlns:ds="http://schemas.openxmlformats.org/officeDocument/2006/customXml" ds:itemID="{6B20F297-4550-4591-A84B-4359ACD14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3</Pages>
  <Words>751</Words>
  <Characters>4097</Characters>
  <Application>Microsoft Office Word</Application>
  <DocSecurity>0</DocSecurity>
  <Lines>79</Lines>
  <Paragraphs>49</Paragraphs>
  <ScaleCrop>false</ScaleCrop>
  <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108</cp:revision>
  <dcterms:created xsi:type="dcterms:W3CDTF">2026-03-30T13:38:00Z</dcterms:created>
  <dcterms:modified xsi:type="dcterms:W3CDTF">2026-04-13T08:43:00Z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y fmtid="{D5CDD505-2E9C-101B-9397-08002B2CF9AE}" pid="4" name="MSIP_Label_965cbc89-303e-4071-afbe-fbe6ca21922b_Enabled">
    <vt:lpwstr>true</vt:lpwstr>
  </property>
  <property fmtid="{D5CDD505-2E9C-101B-9397-08002B2CF9AE}" pid="5" name="MSIP_Label_965cbc89-303e-4071-afbe-fbe6ca21922b_SetDate">
    <vt:lpwstr>2026-03-30T13:54:07Z</vt:lpwstr>
  </property>
  <property fmtid="{D5CDD505-2E9C-101B-9397-08002B2CF9AE}" pid="6" name="MSIP_Label_965cbc89-303e-4071-afbe-fbe6ca21922b_Method">
    <vt:lpwstr>Privileged</vt:lpwstr>
  </property>
  <property fmtid="{D5CDD505-2E9C-101B-9397-08002B2CF9AE}" pid="7" name="MSIP_Label_965cbc89-303e-4071-afbe-fbe6ca21922b_Name">
    <vt:lpwstr>UNCLASSIFIED - NON-CLASSIFIÉ.</vt:lpwstr>
  </property>
  <property fmtid="{D5CDD505-2E9C-101B-9397-08002B2CF9AE}" pid="8" name="MSIP_Label_965cbc89-303e-4071-afbe-fbe6ca21922b_SiteId">
    <vt:lpwstr>1594fdae-a1d9-4405-915d-011467234338</vt:lpwstr>
  </property>
  <property fmtid="{D5CDD505-2E9C-101B-9397-08002B2CF9AE}" pid="9" name="MSIP_Label_965cbc89-303e-4071-afbe-fbe6ca21922b_ActionId">
    <vt:lpwstr>7d2d1b42-90a5-4b94-b65c-0966f93e8873</vt:lpwstr>
  </property>
  <property fmtid="{D5CDD505-2E9C-101B-9397-08002B2CF9AE}" pid="10" name="MSIP_Label_965cbc89-303e-4071-afbe-fbe6ca21922b_ContentBits">
    <vt:lpwstr>0</vt:lpwstr>
  </property>
  <property fmtid="{D5CDD505-2E9C-101B-9397-08002B2CF9AE}" pid="11" name="MSIP_Label_965cbc89-303e-4071-afbe-fbe6ca21922b_Tag">
    <vt:lpwstr>10, 0, 1, 1</vt:lpwstr>
  </property>
</Properties>
</file>